
<file path=[Content_Types].xml><?xml version="1.0" encoding="utf-8"?>
<Types xmlns="http://schemas.openxmlformats.org/package/2006/content-types">
  <Override PartName="/_rels/.rels" ContentType="application/vnd.openxmlformats-package.relationships+xml"/>
  <Override PartName="/word/_rels/document.xml.rels" ContentType="application/vnd.openxmlformats-package.relationships+xml"/>
  <Override PartName="/word/settings.xml" ContentType="application/vnd.openxmlformats-officedocument.wordprocessingml.settings+xml"/>
  <Override PartName="/word/styles.xml" ContentType="application/vnd.openxmlformats-officedocument.wordprocessingml.styles+xml"/>
  <Override PartName="/word/document.xml" ContentType="application/vnd.openxmlformats-officedocument.wordprocessingml.document.main+xml"/>
  <Override PartName="/word/numbering.xml" ContentType="application/vnd.openxmlformats-officedocument.wordprocessingml.numbering+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hd w:val="clear" w:fill="FFFFFF"/>
        <w:ind w:left="0" w:right="-33" w:hanging="0"/>
        <w:jc w:val="center"/>
        <w:rPr/>
      </w:pPr>
      <w:r>
        <w:rPr>
          <w:rStyle w:val="Style14"/>
          <w:rFonts w:ascii="Times New Roman" w:hAnsi="Times New Roman"/>
          <w:sz w:val="20"/>
          <w:szCs w:val="20"/>
          <w:lang w:val="uk-UA"/>
        </w:rPr>
        <w:t xml:space="preserve">Шановний акціонере Приватного акціонерного товариства </w:t>
      </w:r>
      <w:r>
        <w:rPr>
          <w:rStyle w:val="Style13"/>
          <w:rFonts w:ascii="Times New Roman" w:hAnsi="Times New Roman"/>
          <w:sz w:val="20"/>
          <w:szCs w:val="20"/>
          <w:lang w:val="uk-UA"/>
        </w:rPr>
        <w:t>"</w:t>
      </w:r>
      <w:r>
        <w:rPr>
          <w:rStyle w:val="Style14"/>
          <w:rFonts w:ascii="Times New Roman" w:hAnsi="Times New Roman"/>
          <w:sz w:val="20"/>
          <w:szCs w:val="20"/>
          <w:lang w:val="uk-UA"/>
        </w:rPr>
        <w:t>Кобос</w:t>
      </w:r>
      <w:r>
        <w:rPr>
          <w:rStyle w:val="Style13"/>
          <w:rFonts w:ascii="Times New Roman" w:hAnsi="Times New Roman"/>
          <w:sz w:val="20"/>
          <w:szCs w:val="20"/>
          <w:lang w:val="uk-UA"/>
        </w:rPr>
        <w:t>"</w:t>
      </w:r>
      <w:r>
        <w:rPr>
          <w:rStyle w:val="Style14"/>
          <w:rFonts w:ascii="Times New Roman" w:hAnsi="Times New Roman"/>
          <w:sz w:val="20"/>
          <w:szCs w:val="20"/>
          <w:lang w:val="uk-UA"/>
        </w:rPr>
        <w:t>!</w:t>
      </w:r>
    </w:p>
    <w:p>
      <w:pPr>
        <w:pStyle w:val="Style18"/>
        <w:shd w:val="clear" w:fill="FFFFFF"/>
        <w:spacing w:before="0" w:after="0"/>
        <w:rPr>
          <w:rFonts w:ascii="Times New Roman" w:hAnsi="Times New Roman"/>
          <w:sz w:val="20"/>
          <w:szCs w:val="20"/>
        </w:rPr>
      </w:pPr>
      <w:r>
        <w:rPr>
          <w:rFonts w:ascii="Times New Roman" w:hAnsi="Times New Roman"/>
          <w:sz w:val="20"/>
          <w:szCs w:val="20"/>
        </w:rPr>
      </w:r>
    </w:p>
    <w:p>
      <w:pPr>
        <w:pStyle w:val="Style18"/>
        <w:shd w:val="clear" w:fill="FFFFFF"/>
        <w:spacing w:before="0" w:after="0"/>
        <w:jc w:val="both"/>
        <w:rPr/>
      </w:pPr>
      <w:r>
        <w:rPr>
          <w:rStyle w:val="Style13"/>
          <w:rFonts w:ascii="Times New Roman" w:hAnsi="Times New Roman"/>
          <w:sz w:val="20"/>
          <w:szCs w:val="20"/>
          <w:lang w:val="uk-UA"/>
        </w:rPr>
        <w:tab/>
        <w:t xml:space="preserve">Приватне акціонерне товариство “КОБОС” (ідентифікаційний код </w:t>
      </w:r>
      <w:r>
        <w:rPr>
          <w:rStyle w:val="Style13"/>
          <w:rFonts w:cs="Times New Roman" w:ascii="Times New Roman" w:hAnsi="Times New Roman"/>
          <w:spacing w:val="-6"/>
          <w:sz w:val="20"/>
          <w:szCs w:val="20"/>
          <w:lang w:val="uk-UA" w:eastAsia="ru-RU"/>
        </w:rPr>
        <w:t>32470815</w:t>
      </w:r>
      <w:r>
        <w:rPr>
          <w:rStyle w:val="Style13"/>
          <w:rFonts w:ascii="Times New Roman" w:hAnsi="Times New Roman"/>
          <w:sz w:val="20"/>
          <w:szCs w:val="20"/>
          <w:lang w:val="uk-UA"/>
        </w:rPr>
        <w:t>) повідомляє Вас про проведення річних</w:t>
      </w:r>
      <w:r>
        <w:rPr>
          <w:rStyle w:val="Style13"/>
          <w:rFonts w:cs="Times New Roman" w:ascii="Times New Roman" w:hAnsi="Times New Roman"/>
          <w:color w:val="000000"/>
          <w:spacing w:val="-6"/>
          <w:sz w:val="20"/>
          <w:szCs w:val="20"/>
          <w:lang w:val="uk-UA" w:eastAsia="ru-RU"/>
        </w:rPr>
        <w:t xml:space="preserve"> загальних зборів акціонерів Приватного акціонерного товариства "Кобос" (надалі - ПрАТ  "КОБОС", або Товариство).</w:t>
      </w:r>
    </w:p>
    <w:p>
      <w:pPr>
        <w:pStyle w:val="Style18"/>
        <w:shd w:val="clear" w:fill="FFFFFF"/>
        <w:spacing w:before="0" w:after="0"/>
        <w:rPr/>
      </w:pPr>
      <w:r>
        <w:rPr>
          <w:rStyle w:val="Style14"/>
          <w:rFonts w:ascii="Times New Roman" w:hAnsi="Times New Roman"/>
          <w:sz w:val="20"/>
          <w:szCs w:val="20"/>
          <w:lang w:val="uk-UA"/>
        </w:rPr>
        <w:t>Повне найменування Товариства:</w:t>
      </w:r>
    </w:p>
    <w:p>
      <w:pPr>
        <w:pStyle w:val="Style18"/>
        <w:shd w:val="clear" w:fill="FFFFFF"/>
        <w:spacing w:before="0" w:after="0"/>
        <w:rPr/>
      </w:pPr>
      <w:r>
        <w:rPr>
          <w:rFonts w:ascii="Times New Roman" w:hAnsi="Times New Roman"/>
          <w:sz w:val="20"/>
          <w:szCs w:val="20"/>
          <w:lang w:val="uk-UA"/>
        </w:rPr>
        <w:t>ПРИВАТНЕ АКЦІОНЕРНЕ ТОВАРИСТВО "КОБОС"</w:t>
      </w:r>
    </w:p>
    <w:p>
      <w:pPr>
        <w:pStyle w:val="Style18"/>
        <w:shd w:val="clear" w:fill="FFFFFF"/>
        <w:spacing w:before="0" w:after="0"/>
        <w:jc w:val="both"/>
        <w:rPr/>
      </w:pPr>
      <w:r>
        <w:rPr>
          <w:rStyle w:val="Style13"/>
          <w:rFonts w:ascii="Times New Roman" w:hAnsi="Times New Roman"/>
          <w:b/>
          <w:bCs/>
          <w:sz w:val="20"/>
          <w:szCs w:val="20"/>
          <w:lang w:val="uk-UA"/>
        </w:rPr>
        <w:t>Ідентифікаційний код Товариства:</w:t>
      </w:r>
      <w:r>
        <w:rPr>
          <w:rStyle w:val="Style13"/>
          <w:rFonts w:ascii="Times New Roman" w:hAnsi="Times New Roman"/>
          <w:sz w:val="20"/>
          <w:szCs w:val="20"/>
          <w:lang w:val="uk-UA"/>
        </w:rPr>
        <w:t xml:space="preserve"> 32470815</w:t>
      </w:r>
    </w:p>
    <w:p>
      <w:pPr>
        <w:pStyle w:val="Style18"/>
        <w:shd w:val="clear" w:fill="FFFFFF"/>
        <w:spacing w:before="0" w:after="0"/>
        <w:rPr/>
      </w:pPr>
      <w:r>
        <w:rPr>
          <w:rStyle w:val="Style14"/>
          <w:rFonts w:ascii="Times New Roman" w:hAnsi="Times New Roman"/>
          <w:sz w:val="20"/>
          <w:szCs w:val="20"/>
          <w:lang w:val="uk-UA"/>
        </w:rPr>
        <w:t xml:space="preserve">Місцезнаходження Товариства: </w:t>
      </w:r>
      <w:r>
        <w:rPr>
          <w:rStyle w:val="Style13"/>
          <w:rFonts w:ascii="Times New Roman" w:hAnsi="Times New Roman"/>
          <w:color w:val="000000"/>
          <w:sz w:val="20"/>
          <w:szCs w:val="20"/>
          <w:lang w:val="uk-UA"/>
        </w:rPr>
        <w:t xml:space="preserve">Україна, </w:t>
      </w:r>
      <w:r>
        <w:rPr>
          <w:rStyle w:val="Style13"/>
          <w:rFonts w:eastAsia="Times New Roman" w:cs="Times New Roman" w:ascii="Times New Roman" w:hAnsi="Times New Roman"/>
          <w:color w:val="000000"/>
          <w:sz w:val="20"/>
          <w:szCs w:val="20"/>
          <w:lang w:val="uk-UA" w:eastAsia="zxx" w:bidi="zxx"/>
        </w:rPr>
        <w:t>03190, м. Київ, просп. Перемоги, 84 А</w:t>
      </w:r>
    </w:p>
    <w:p>
      <w:pPr>
        <w:pStyle w:val="Normal"/>
        <w:shd w:val="clear" w:fill="FFFFFF"/>
        <w:spacing w:lineRule="atLeast" w:line="240"/>
        <w:jc w:val="both"/>
        <w:rPr/>
      </w:pPr>
      <w:r>
        <w:rPr>
          <w:rStyle w:val="Style13"/>
          <w:rFonts w:cs="Times New Roman" w:ascii="Times New Roman" w:hAnsi="Times New Roman"/>
          <w:b/>
          <w:sz w:val="20"/>
          <w:szCs w:val="20"/>
          <w:lang w:val="uk-UA"/>
        </w:rPr>
        <w:t>Місце проведення річних загальних зборів акціонерів Товариства:</w:t>
      </w:r>
      <w:r>
        <w:rPr>
          <w:rStyle w:val="Style13"/>
          <w:rFonts w:cs="Times New Roman" w:ascii="Times New Roman" w:hAnsi="Times New Roman"/>
          <w:sz w:val="20"/>
          <w:szCs w:val="20"/>
          <w:lang w:val="uk-UA"/>
        </w:rPr>
        <w:t xml:space="preserve"> Україна, </w:t>
      </w:r>
      <w:r>
        <w:rPr>
          <w:rStyle w:val="Style13"/>
          <w:rFonts w:cs="Times New Roman" w:ascii="Times New Roman" w:hAnsi="Times New Roman"/>
          <w:sz w:val="20"/>
          <w:szCs w:val="20"/>
          <w:lang w:val="uk-UA" w:eastAsia="uk-UA"/>
        </w:rPr>
        <w:t>Київська обл., м. Київ,  вул.Б.Хмельницького, 16-22, конференц зал, к.101.</w:t>
      </w:r>
    </w:p>
    <w:p>
      <w:pPr>
        <w:pStyle w:val="Normal"/>
        <w:shd w:val="clear" w:fill="FFFFFF"/>
        <w:spacing w:lineRule="atLeast" w:line="240"/>
        <w:jc w:val="both"/>
        <w:rPr/>
      </w:pPr>
      <w:r>
        <w:rPr>
          <w:rStyle w:val="Style13"/>
          <w:rFonts w:cs="Times New Roman" w:ascii="Times New Roman" w:hAnsi="Times New Roman"/>
          <w:b/>
          <w:sz w:val="20"/>
          <w:szCs w:val="20"/>
          <w:lang w:val="uk-UA"/>
        </w:rPr>
        <w:t xml:space="preserve">Дата проведення річних загальних зборів акціонерів Товариства: </w:t>
      </w:r>
      <w:r>
        <w:rPr>
          <w:rStyle w:val="Style13"/>
          <w:rFonts w:cs="Times New Roman" w:ascii="Times New Roman" w:hAnsi="Times New Roman"/>
          <w:color w:val="000000"/>
          <w:spacing w:val="-6"/>
          <w:sz w:val="20"/>
          <w:szCs w:val="20"/>
          <w:lang w:val="uk-UA" w:eastAsia="ru-RU"/>
        </w:rPr>
        <w:t>23 квітня 2019 року.</w:t>
      </w:r>
    </w:p>
    <w:p>
      <w:pPr>
        <w:pStyle w:val="Normal"/>
        <w:shd w:val="clear" w:fill="FFFFFF"/>
        <w:spacing w:lineRule="atLeast" w:line="240"/>
        <w:jc w:val="both"/>
        <w:rPr/>
      </w:pPr>
      <w:r>
        <w:rPr>
          <w:rStyle w:val="Style13"/>
          <w:rFonts w:cs="Times New Roman" w:ascii="Times New Roman" w:hAnsi="Times New Roman"/>
          <w:b/>
          <w:color w:val="000000"/>
          <w:spacing w:val="-6"/>
          <w:sz w:val="20"/>
          <w:szCs w:val="20"/>
          <w:lang w:val="uk-UA" w:eastAsia="ru-RU"/>
        </w:rPr>
        <w:t>Початок проведення річних загальних зборів акціонерів Товариства:</w:t>
      </w:r>
      <w:r>
        <w:rPr>
          <w:rStyle w:val="Style13"/>
          <w:rFonts w:cs="Times New Roman" w:ascii="Times New Roman" w:hAnsi="Times New Roman"/>
          <w:color w:val="000000"/>
          <w:spacing w:val="-6"/>
          <w:sz w:val="20"/>
          <w:szCs w:val="20"/>
          <w:lang w:val="uk-UA" w:eastAsia="ru-RU"/>
        </w:rPr>
        <w:t xml:space="preserve"> о 10 год. 00 хв.  </w:t>
      </w:r>
    </w:p>
    <w:p>
      <w:pPr>
        <w:pStyle w:val="Normal"/>
        <w:shd w:val="clear" w:fill="FFFFFF"/>
        <w:spacing w:lineRule="atLeast" w:line="240"/>
        <w:jc w:val="both"/>
        <w:rPr/>
      </w:pPr>
      <w:r>
        <w:rPr>
          <w:rStyle w:val="Style13"/>
          <w:rFonts w:ascii="Times New Roman" w:hAnsi="Times New Roman"/>
          <w:b/>
          <w:sz w:val="20"/>
          <w:szCs w:val="20"/>
          <w:lang w:val="uk-UA"/>
        </w:rPr>
        <w:t xml:space="preserve">Реєстрація акціонерів (їх представників) </w:t>
      </w:r>
      <w:r>
        <w:rPr>
          <w:rStyle w:val="Style13"/>
          <w:rFonts w:ascii="Times New Roman" w:hAnsi="Times New Roman"/>
          <w:sz w:val="20"/>
          <w:szCs w:val="20"/>
          <w:lang w:val="uk-UA"/>
        </w:rPr>
        <w:t>для участі у річних</w:t>
      </w:r>
      <w:r>
        <w:rPr>
          <w:rStyle w:val="Style13"/>
          <w:rFonts w:cs="Times New Roman" w:ascii="Times New Roman" w:hAnsi="Times New Roman"/>
          <w:sz w:val="20"/>
          <w:szCs w:val="20"/>
          <w:lang w:val="uk-UA"/>
        </w:rPr>
        <w:t xml:space="preserve"> з</w:t>
      </w:r>
      <w:r>
        <w:rPr>
          <w:rStyle w:val="Style13"/>
          <w:rFonts w:ascii="Times New Roman" w:hAnsi="Times New Roman"/>
          <w:sz w:val="20"/>
          <w:szCs w:val="20"/>
          <w:lang w:val="uk-UA"/>
        </w:rPr>
        <w:t>агальних зборах акціонерів Товариства буде проводитись</w:t>
      </w:r>
      <w:r>
        <w:rPr>
          <w:rStyle w:val="Style13"/>
          <w:rFonts w:ascii="Times New Roman" w:hAnsi="Times New Roman"/>
          <w:b/>
          <w:sz w:val="20"/>
          <w:szCs w:val="20"/>
          <w:lang w:val="uk-UA"/>
        </w:rPr>
        <w:t xml:space="preserve"> </w:t>
      </w:r>
      <w:r>
        <w:rPr>
          <w:rStyle w:val="Style13"/>
          <w:rFonts w:cs="Times New Roman" w:ascii="Times New Roman" w:hAnsi="Times New Roman"/>
          <w:color w:val="000000"/>
          <w:spacing w:val="-6"/>
          <w:sz w:val="20"/>
          <w:szCs w:val="20"/>
          <w:lang w:val="uk-UA" w:eastAsia="ru-RU"/>
        </w:rPr>
        <w:t>23 квітня 2019 року з</w:t>
      </w:r>
      <w:r>
        <w:rPr>
          <w:rStyle w:val="Style13"/>
          <w:rFonts w:cs="Times New Roman" w:ascii="Times New Roman" w:hAnsi="Times New Roman"/>
          <w:i w:val="false"/>
          <w:iCs w:val="false"/>
          <w:color w:val="000000"/>
          <w:spacing w:val="-6"/>
          <w:sz w:val="20"/>
          <w:szCs w:val="20"/>
          <w:lang w:val="uk-UA" w:eastAsia="ru-RU"/>
        </w:rPr>
        <w:t xml:space="preserve"> 9-30</w:t>
      </w:r>
      <w:r>
        <w:rPr>
          <w:rStyle w:val="Style13"/>
          <w:rFonts w:cs="Times New Roman" w:ascii="Times New Roman" w:hAnsi="Times New Roman"/>
          <w:color w:val="000000"/>
          <w:spacing w:val="-6"/>
          <w:sz w:val="20"/>
          <w:szCs w:val="20"/>
          <w:lang w:val="uk-UA" w:eastAsia="ru-RU"/>
        </w:rPr>
        <w:t xml:space="preserve"> до 9.45 год. за місцем проведення річних загальних зборів акціонерів Товариства (</w:t>
      </w:r>
      <w:r>
        <w:rPr>
          <w:rStyle w:val="Style13"/>
          <w:rFonts w:cs="Times New Roman" w:ascii="Times New Roman" w:hAnsi="Times New Roman"/>
          <w:color w:val="000000"/>
          <w:spacing w:val="-6"/>
          <w:sz w:val="20"/>
          <w:szCs w:val="20"/>
          <w:lang w:val="uk-UA" w:eastAsia="uk-UA"/>
        </w:rPr>
        <w:t>Україна, Київська обл., м. Київ,  вул.Б.Хмельницького, 16-22, конференц зал, к.101</w:t>
      </w:r>
      <w:r>
        <w:rPr>
          <w:rStyle w:val="Style13"/>
          <w:rFonts w:cs="Times New Roman" w:ascii="Times New Roman" w:hAnsi="Times New Roman"/>
          <w:color w:val="000000"/>
          <w:spacing w:val="-6"/>
          <w:sz w:val="20"/>
          <w:szCs w:val="20"/>
          <w:lang w:val="uk-UA" w:eastAsia="ru-RU"/>
        </w:rPr>
        <w:t>)</w:t>
      </w:r>
      <w:r>
        <w:rPr>
          <w:rStyle w:val="Style13"/>
          <w:rFonts w:ascii="Times New Roman" w:hAnsi="Times New Roman"/>
          <w:b/>
          <w:sz w:val="20"/>
          <w:szCs w:val="20"/>
          <w:lang w:val="uk-UA"/>
        </w:rPr>
        <w:t>.</w:t>
      </w:r>
    </w:p>
    <w:p>
      <w:pPr>
        <w:pStyle w:val="Normal"/>
        <w:shd w:val="clear" w:fill="FFFFFF"/>
        <w:spacing w:lineRule="atLeast" w:line="240"/>
        <w:jc w:val="both"/>
        <w:rPr/>
      </w:pPr>
      <w:r>
        <w:rPr>
          <w:rStyle w:val="Style13"/>
          <w:rFonts w:cs="Times New Roman" w:ascii="Times New Roman" w:hAnsi="Times New Roman"/>
          <w:sz w:val="20"/>
          <w:szCs w:val="20"/>
          <w:lang w:val="uk-UA"/>
        </w:rPr>
        <w:t>Реєстрація акціонерів (їх представників) для участі у річних загальних зборах акціонерів Товариства проводитиметься на підставі переліку акціонерів, які мають право на участь у річних загальних зборах акціонерів Товариства, складеного в порядку, передбаченому законодавством про депозитарну систему, станом на 24 годину за 3 (три) робочих дні до дня проведення річних загальних зборів акціонерів Товариства, тобто станом на 24 годину 17.04.2019 р.</w:t>
      </w:r>
    </w:p>
    <w:p>
      <w:pPr>
        <w:pStyle w:val="Normal"/>
        <w:shd w:val="clear" w:fill="FFFFFF"/>
        <w:spacing w:lineRule="atLeast" w:line="240"/>
        <w:jc w:val="both"/>
        <w:rPr/>
      </w:pPr>
      <w:r>
        <w:rPr>
          <w:rStyle w:val="Style13"/>
          <w:rFonts w:cs="Times New Roman" w:ascii="Times New Roman" w:hAnsi="Times New Roman"/>
          <w:color w:val="000000"/>
          <w:spacing w:val="-6"/>
          <w:sz w:val="20"/>
          <w:szCs w:val="20"/>
          <w:lang w:val="uk-UA" w:eastAsia="ru-RU"/>
        </w:rPr>
        <w:tab/>
        <w:t>Для участі у річних загальних зборах акціонерів Товариства, акціонеру необхідно мати при собі паспорт (документ, що внесено до анкетних даних рахунку в цінних паперах), а представнику (-ам) акціонера – паспорт (документ зазначений в довіреності) та довіреність на право представляти інтереси акціонера на річних загальних зборах акціонерів, оформлену згідно з вимогами чинного законодавства, у разі якщо представник акціонера юридичної особи уповноважений відповідно до статутних документів, необхідно мати при собі також завірений належним чином статут та документ про призначення на посаду.</w:t>
      </w:r>
    </w:p>
    <w:p>
      <w:pPr>
        <w:pStyle w:val="Normal"/>
        <w:shd w:val="clear" w:fill="FFFFFF"/>
        <w:spacing w:lineRule="atLeast" w:line="240"/>
        <w:ind w:left="0" w:right="0" w:firstLine="709"/>
        <w:jc w:val="both"/>
        <w:rPr/>
      </w:pPr>
      <w:r>
        <w:rPr>
          <w:rStyle w:val="Style13"/>
          <w:rFonts w:cs="Times New Roman" w:ascii="Times New Roman" w:hAnsi="Times New Roman"/>
          <w:color w:val="000000"/>
          <w:spacing w:val="-6"/>
          <w:sz w:val="20"/>
          <w:szCs w:val="20"/>
          <w:lang w:val="uk-UA" w:eastAsia="ru-RU"/>
        </w:rPr>
        <w:t>Порядок участі та голосування на загальних зборах за довіреністю визначено статтею 39 Закону України «Про акціонерні товариства».</w:t>
      </w:r>
    </w:p>
    <w:p>
      <w:pPr>
        <w:pStyle w:val="Style18"/>
        <w:shd w:val="clear" w:fill="FFFFFF"/>
        <w:spacing w:lineRule="atLeast" w:line="240" w:before="0" w:after="0"/>
        <w:ind w:left="0" w:right="0" w:firstLine="567"/>
        <w:jc w:val="both"/>
        <w:rPr>
          <w:rFonts w:ascii="Times New Roman" w:hAnsi="Times New Roman"/>
          <w:sz w:val="20"/>
          <w:szCs w:val="20"/>
          <w:lang w:val="uk-UA"/>
        </w:rPr>
      </w:pPr>
      <w:r>
        <w:rPr>
          <w:rFonts w:ascii="Times New Roman" w:hAnsi="Times New Roman"/>
          <w:sz w:val="20"/>
          <w:szCs w:val="20"/>
          <w:lang w:val="uk-UA"/>
        </w:rPr>
      </w:r>
    </w:p>
    <w:p>
      <w:pPr>
        <w:pStyle w:val="Normal"/>
        <w:numPr>
          <w:ilvl w:val="0"/>
          <w:numId w:val="2"/>
        </w:numPr>
        <w:shd w:val="clear" w:fill="FFFFFF"/>
        <w:spacing w:lineRule="atLeast" w:line="240"/>
        <w:ind w:left="0" w:right="0" w:firstLine="601"/>
        <w:jc w:val="center"/>
        <w:outlineLvl w:val="0"/>
        <w:rPr/>
      </w:pPr>
      <w:r>
        <w:rPr>
          <w:rStyle w:val="Style13"/>
          <w:rFonts w:ascii="Times New Roman" w:hAnsi="Times New Roman"/>
          <w:b/>
          <w:color w:val="000000"/>
          <w:sz w:val="20"/>
          <w:szCs w:val="20"/>
          <w:lang w:val="uk-UA"/>
        </w:rPr>
        <w:t xml:space="preserve">Проект порядку денного річних загальних зборів акціонерів </w:t>
      </w:r>
      <w:r>
        <w:rPr>
          <w:rStyle w:val="Style13"/>
          <w:rFonts w:cs="Times New Roman" w:ascii="Times New Roman" w:hAnsi="Times New Roman"/>
          <w:b/>
          <w:color w:val="000000"/>
          <w:spacing w:val="-6"/>
          <w:sz w:val="20"/>
          <w:szCs w:val="20"/>
          <w:lang w:val="uk-UA" w:eastAsia="ru-RU"/>
        </w:rPr>
        <w:t xml:space="preserve">Приватного акціонерного товариства "Кобос" </w:t>
      </w:r>
      <w:r>
        <w:rPr>
          <w:rStyle w:val="Style13"/>
          <w:rFonts w:ascii="Times New Roman" w:hAnsi="Times New Roman"/>
          <w:b/>
          <w:color w:val="000000"/>
          <w:sz w:val="20"/>
          <w:szCs w:val="20"/>
          <w:lang w:val="uk-UA"/>
        </w:rPr>
        <w:t>(перелік питань разом з проектом рішень щодо кожного з питань, включених до проекту порядку денного):</w:t>
      </w:r>
    </w:p>
    <w:p>
      <w:pPr>
        <w:pStyle w:val="Normal"/>
        <w:numPr>
          <w:ilvl w:val="0"/>
          <w:numId w:val="0"/>
        </w:numPr>
        <w:shd w:val="clear" w:fill="FFFFFF"/>
        <w:spacing w:lineRule="atLeast" w:line="240"/>
        <w:ind w:left="0" w:right="0" w:firstLine="601"/>
        <w:jc w:val="center"/>
        <w:outlineLvl w:val="0"/>
        <w:rPr>
          <w:rFonts w:ascii="Times New Roman" w:hAnsi="Times New Roman"/>
          <w:b/>
          <w:b/>
          <w:color w:val="000000"/>
          <w:sz w:val="20"/>
          <w:szCs w:val="20"/>
          <w:lang w:val="uk-UA"/>
        </w:rPr>
      </w:pPr>
      <w:r>
        <w:rPr>
          <w:rFonts w:ascii="Times New Roman" w:hAnsi="Times New Roman"/>
          <w:b/>
          <w:color w:val="000000"/>
          <w:sz w:val="20"/>
          <w:szCs w:val="20"/>
          <w:lang w:val="uk-UA"/>
        </w:rPr>
      </w:r>
    </w:p>
    <w:p>
      <w:pPr>
        <w:pStyle w:val="Style18"/>
        <w:shd w:val="clear" w:fill="FFFFFF"/>
        <w:spacing w:lineRule="auto" w:line="240" w:before="0" w:after="0"/>
        <w:jc w:val="both"/>
        <w:rPr/>
      </w:pPr>
      <w:r>
        <w:rPr>
          <w:rFonts w:ascii="Times New Roman" w:hAnsi="Times New Roman"/>
          <w:sz w:val="20"/>
          <w:szCs w:val="20"/>
        </w:rPr>
        <w:t>Питання 1. Обрання членів Лічильної комісії, прийняття рішення про припинення повноважень Лічильної комісії.</w:t>
      </w:r>
    </w:p>
    <w:p>
      <w:pPr>
        <w:pStyle w:val="Style18"/>
        <w:shd w:val="clear" w:fill="FFFFFF"/>
        <w:spacing w:lineRule="auto" w:line="240" w:before="0" w:after="0"/>
        <w:jc w:val="both"/>
        <w:rPr/>
      </w:pPr>
      <w:r>
        <w:rPr>
          <w:rFonts w:ascii="Times New Roman" w:hAnsi="Times New Roman"/>
          <w:sz w:val="20"/>
          <w:szCs w:val="20"/>
        </w:rPr>
        <w:t>Проект рішення:</w:t>
      </w:r>
    </w:p>
    <w:p>
      <w:pPr>
        <w:pStyle w:val="Style18"/>
        <w:shd w:val="clear" w:fill="FFFFFF"/>
        <w:spacing w:lineRule="auto" w:line="240" w:before="0" w:after="0"/>
        <w:jc w:val="both"/>
        <w:rPr/>
      </w:pPr>
      <w:r>
        <w:rPr>
          <w:rFonts w:ascii="Times New Roman" w:hAnsi="Times New Roman"/>
          <w:sz w:val="20"/>
          <w:szCs w:val="20"/>
        </w:rPr>
        <w:t>Обрати Лічильну комісію у складі 2 осіб:</w:t>
      </w:r>
    </w:p>
    <w:p>
      <w:pPr>
        <w:pStyle w:val="Style18"/>
        <w:shd w:val="clear" w:fill="FFFFFF"/>
        <w:spacing w:lineRule="auto" w:line="240" w:before="0" w:after="0"/>
        <w:jc w:val="both"/>
        <w:rPr/>
      </w:pPr>
      <w:r>
        <w:rPr>
          <w:rFonts w:ascii="Times New Roman" w:hAnsi="Times New Roman"/>
          <w:sz w:val="20"/>
          <w:szCs w:val="20"/>
          <w:lang w:val="uk-UA"/>
        </w:rPr>
        <w:t xml:space="preserve">- Голова лічильної комісії - </w:t>
      </w:r>
      <w:r>
        <w:rPr>
          <w:rFonts w:ascii="Times New Roman" w:hAnsi="Times New Roman"/>
          <w:spacing w:val="-6"/>
          <w:sz w:val="20"/>
          <w:szCs w:val="20"/>
          <w:lang w:val="uk-UA"/>
        </w:rPr>
        <w:t xml:space="preserve">Красовська Юлія Геннадіївна;  </w:t>
      </w:r>
    </w:p>
    <w:p>
      <w:pPr>
        <w:pStyle w:val="Style18"/>
        <w:shd w:val="clear" w:fill="FFFFFF"/>
        <w:spacing w:lineRule="auto" w:line="240" w:before="0" w:after="0"/>
        <w:jc w:val="both"/>
        <w:rPr/>
      </w:pPr>
      <w:r>
        <w:rPr>
          <w:rFonts w:ascii="Times New Roman" w:hAnsi="Times New Roman"/>
          <w:sz w:val="20"/>
          <w:szCs w:val="20"/>
        </w:rPr>
        <w:t>- Член лічильної комісії - Кукуєту Людмила Іванівна;</w:t>
      </w:r>
    </w:p>
    <w:p>
      <w:pPr>
        <w:pStyle w:val="Style18"/>
        <w:shd w:val="clear" w:fill="FFFFFF"/>
        <w:spacing w:lineRule="auto" w:line="240" w:before="0" w:after="0"/>
        <w:jc w:val="both"/>
        <w:rPr/>
      </w:pPr>
      <w:r>
        <w:rPr>
          <w:rFonts w:ascii="Times New Roman" w:hAnsi="Times New Roman"/>
          <w:sz w:val="20"/>
          <w:szCs w:val="20"/>
        </w:rPr>
        <w:t>Повноваження Голови та членів Лічильної комісії припинити після виконання всіх повноважень, покладених на Лічильну комісію, відповідно до чинного законодавства.</w:t>
      </w:r>
    </w:p>
    <w:p>
      <w:pPr>
        <w:pStyle w:val="Style18"/>
        <w:shd w:val="clear" w:fill="FFFFFF"/>
        <w:spacing w:lineRule="auto" w:line="240" w:before="0" w:after="0"/>
        <w:jc w:val="both"/>
        <w:rPr>
          <w:rFonts w:ascii="Times New Roman" w:hAnsi="Times New Roman"/>
          <w:sz w:val="20"/>
          <w:szCs w:val="20"/>
        </w:rPr>
      </w:pPr>
      <w:r>
        <w:rPr>
          <w:rFonts w:ascii="Times New Roman" w:hAnsi="Times New Roman"/>
          <w:sz w:val="20"/>
          <w:szCs w:val="20"/>
        </w:rPr>
      </w:r>
    </w:p>
    <w:p>
      <w:pPr>
        <w:pStyle w:val="Style18"/>
        <w:shd w:val="clear" w:fill="FFFFFF"/>
        <w:spacing w:lineRule="auto" w:line="240" w:before="0" w:after="0"/>
        <w:jc w:val="both"/>
        <w:rPr/>
      </w:pPr>
      <w:r>
        <w:rPr>
          <w:rFonts w:ascii="Times New Roman" w:hAnsi="Times New Roman"/>
          <w:sz w:val="20"/>
          <w:szCs w:val="20"/>
        </w:rPr>
        <w:t>Питання 2. Обрання Голови та Секретаря річних загальних зборів акціонерів Приватного акціонерного товариства «Кобос». Уповноваження Голови та Секретаря річних загальних зборів акціонерів Приватного акціонерного товариства «Кобос» на підписання протоколу річних загальних зборів акціонерів.</w:t>
      </w:r>
    </w:p>
    <w:p>
      <w:pPr>
        <w:pStyle w:val="Style18"/>
        <w:shd w:val="clear" w:fill="FFFFFF"/>
        <w:spacing w:lineRule="auto" w:line="240" w:before="0" w:after="0"/>
        <w:jc w:val="both"/>
        <w:rPr/>
      </w:pPr>
      <w:r>
        <w:rPr>
          <w:rFonts w:ascii="Times New Roman" w:hAnsi="Times New Roman"/>
          <w:sz w:val="20"/>
          <w:szCs w:val="20"/>
        </w:rPr>
        <w:t>Проект рішення:</w:t>
      </w:r>
    </w:p>
    <w:p>
      <w:pPr>
        <w:pStyle w:val="Style18"/>
        <w:shd w:val="clear" w:fill="FFFFFF"/>
        <w:spacing w:lineRule="auto" w:line="240" w:before="0" w:after="0"/>
        <w:jc w:val="both"/>
        <w:rPr/>
      </w:pPr>
      <w:r>
        <w:rPr>
          <w:rFonts w:ascii="Times New Roman" w:hAnsi="Times New Roman"/>
          <w:sz w:val="20"/>
          <w:szCs w:val="20"/>
        </w:rPr>
        <w:t>Обрати:</w:t>
      </w:r>
    </w:p>
    <w:p>
      <w:pPr>
        <w:pStyle w:val="Style18"/>
        <w:shd w:val="clear" w:fill="FFFFFF"/>
        <w:spacing w:lineRule="auto" w:line="240" w:before="0" w:after="0"/>
        <w:jc w:val="both"/>
        <w:rPr/>
      </w:pPr>
      <w:r>
        <w:rPr>
          <w:rFonts w:ascii="Times New Roman" w:hAnsi="Times New Roman"/>
          <w:b w:val="false"/>
          <w:bCs w:val="false"/>
          <w:sz w:val="20"/>
          <w:szCs w:val="20"/>
        </w:rPr>
        <w:t>Головою річних</w:t>
      </w:r>
      <w:r>
        <w:rPr>
          <w:rFonts w:ascii="Times New Roman" w:hAnsi="Times New Roman"/>
          <w:b w:val="false"/>
          <w:bCs w:val="false"/>
          <w:spacing w:val="-6"/>
          <w:sz w:val="20"/>
          <w:szCs w:val="20"/>
          <w:lang w:val="uk-UA"/>
        </w:rPr>
        <w:t xml:space="preserve"> загальних зборів акціонерів Приватного акціонерного товариства «Кобос»  -</w:t>
      </w:r>
      <w:r>
        <w:rPr>
          <w:rFonts w:ascii="Times New Roman" w:hAnsi="Times New Roman"/>
          <w:b w:val="false"/>
          <w:bCs w:val="false"/>
          <w:sz w:val="20"/>
          <w:szCs w:val="20"/>
        </w:rPr>
        <w:t xml:space="preserve"> Січенка Сергія Павловича;</w:t>
      </w:r>
    </w:p>
    <w:p>
      <w:pPr>
        <w:pStyle w:val="Style18"/>
        <w:shd w:val="clear" w:fill="FFFFFF"/>
        <w:spacing w:lineRule="auto" w:line="240" w:before="0" w:after="0"/>
        <w:jc w:val="both"/>
        <w:rPr/>
      </w:pPr>
      <w:r>
        <w:rPr>
          <w:rFonts w:ascii="Times New Roman" w:hAnsi="Times New Roman"/>
          <w:b w:val="false"/>
          <w:bCs w:val="false"/>
          <w:sz w:val="20"/>
          <w:szCs w:val="20"/>
          <w:lang w:val="uk-UA"/>
        </w:rPr>
        <w:t>Секретарем річних</w:t>
      </w:r>
      <w:r>
        <w:rPr>
          <w:rFonts w:ascii="Times New Roman" w:hAnsi="Times New Roman"/>
          <w:b w:val="false"/>
          <w:bCs w:val="false"/>
          <w:spacing w:val="-6"/>
          <w:sz w:val="20"/>
          <w:szCs w:val="20"/>
          <w:lang w:val="uk-UA"/>
        </w:rPr>
        <w:t xml:space="preserve"> загальних зборів акціонерів Приватного акціонерного товариства «Кобос» - Чорну Тамару Олексіївну.</w:t>
      </w:r>
    </w:p>
    <w:p>
      <w:pPr>
        <w:pStyle w:val="Style18"/>
        <w:shd w:val="clear" w:fill="FFFFFF"/>
        <w:spacing w:lineRule="auto" w:line="240" w:before="0" w:after="0"/>
        <w:jc w:val="both"/>
        <w:rPr/>
      </w:pPr>
      <w:r>
        <w:rPr>
          <w:rFonts w:ascii="Times New Roman" w:hAnsi="Times New Roman"/>
          <w:b w:val="false"/>
          <w:bCs w:val="false"/>
          <w:spacing w:val="-6"/>
          <w:sz w:val="20"/>
          <w:szCs w:val="20"/>
          <w:lang w:val="uk-UA"/>
        </w:rPr>
        <w:t>Уповноважити Голову та Секретаря річних загальних зборів акціонерів Приватного акціонерного товариства «Кобос» на підписання протоколу річних загальних зборів акціонерів.</w:t>
      </w:r>
    </w:p>
    <w:p>
      <w:pPr>
        <w:pStyle w:val="Style18"/>
        <w:shd w:val="clear" w:fill="FFFFFF"/>
        <w:spacing w:lineRule="auto" w:line="240" w:before="0" w:after="0"/>
        <w:jc w:val="both"/>
        <w:rPr>
          <w:rFonts w:ascii="Times New Roman" w:hAnsi="Times New Roman"/>
          <w:sz w:val="20"/>
          <w:szCs w:val="20"/>
        </w:rPr>
      </w:pPr>
      <w:r>
        <w:rPr>
          <w:rFonts w:ascii="Times New Roman" w:hAnsi="Times New Roman"/>
          <w:sz w:val="20"/>
          <w:szCs w:val="20"/>
        </w:rPr>
      </w:r>
    </w:p>
    <w:p>
      <w:pPr>
        <w:pStyle w:val="Style18"/>
        <w:shd w:val="clear" w:fill="FFFFFF"/>
        <w:spacing w:lineRule="auto" w:line="240" w:before="0" w:after="0"/>
        <w:jc w:val="both"/>
        <w:rPr/>
      </w:pPr>
      <w:r>
        <w:rPr>
          <w:rFonts w:ascii="Times New Roman" w:hAnsi="Times New Roman"/>
          <w:b w:val="false"/>
          <w:bCs w:val="false"/>
          <w:i w:val="false"/>
          <w:iCs w:val="false"/>
          <w:sz w:val="20"/>
          <w:szCs w:val="20"/>
          <w:u w:val="none"/>
        </w:rPr>
        <w:t xml:space="preserve">Питання 3. Внесення змін до Статуту </w:t>
      </w:r>
      <w:r>
        <w:rPr>
          <w:rFonts w:ascii="Times New Roman" w:hAnsi="Times New Roman"/>
          <w:b w:val="false"/>
          <w:bCs w:val="false"/>
          <w:i w:val="false"/>
          <w:iCs w:val="false"/>
          <w:sz w:val="20"/>
          <w:szCs w:val="20"/>
          <w:u w:val="none"/>
          <w:lang w:val="uk-UA"/>
        </w:rPr>
        <w:t>Приватного акціонерного товариства «Кобос» шляхом викладення в новій редакції. Затвердження Статуту Приватного акціонерного товариства «Кобос» в новій редакції. Уповноваження Генерального директора Приватного акціонерного товариства «Кобос» на підписання Статуту в новій редакції.</w:t>
      </w:r>
    </w:p>
    <w:p>
      <w:pPr>
        <w:pStyle w:val="Style18"/>
        <w:shd w:val="clear" w:fill="FFFFFF"/>
        <w:spacing w:lineRule="auto" w:line="240" w:before="0" w:after="0"/>
        <w:jc w:val="both"/>
        <w:rPr/>
      </w:pPr>
      <w:r>
        <w:rPr>
          <w:rFonts w:ascii="Times New Roman" w:hAnsi="Times New Roman"/>
          <w:b w:val="false"/>
          <w:bCs w:val="false"/>
          <w:i w:val="false"/>
          <w:iCs w:val="false"/>
          <w:sz w:val="20"/>
          <w:szCs w:val="20"/>
          <w:u w:val="none"/>
          <w:lang w:val="uk-UA"/>
        </w:rPr>
        <w:t>Проект рішення:</w:t>
      </w:r>
    </w:p>
    <w:p>
      <w:pPr>
        <w:pStyle w:val="Style18"/>
        <w:shd w:val="clear" w:fill="FFFFFF"/>
        <w:spacing w:lineRule="auto" w:line="240" w:before="0" w:after="0"/>
        <w:jc w:val="both"/>
        <w:rPr/>
      </w:pPr>
      <w:r>
        <w:rPr>
          <w:rFonts w:ascii="Times New Roman" w:hAnsi="Times New Roman"/>
          <w:b w:val="false"/>
          <w:bCs w:val="false"/>
          <w:i w:val="false"/>
          <w:iCs w:val="false"/>
          <w:sz w:val="20"/>
          <w:szCs w:val="20"/>
          <w:u w:val="none"/>
          <w:lang w:val="uk-UA" w:eastAsia="ru-RU"/>
        </w:rPr>
        <w:t xml:space="preserve">Внести та затвердити зміни до Статуту Приватного акціонерного товариства «Кобос» шляхом викладення його в новій редакції. Уповноважити Генерального директора Приватного акціонерного товариства «Кобос» на підписання Статуту Приватного акціонерного товариства «Кобос» в новій редакції. Доручити Генеральному директору Приватного акціонерного товариства «Кобос» забезпечити державну реєстрацію Статуту Приватного акціонерного товариства «Кобос» в новій редакції, відповідно до встановленого законодавством України порядку. </w:t>
      </w:r>
    </w:p>
    <w:p>
      <w:pPr>
        <w:pStyle w:val="Style18"/>
        <w:shd w:val="clear" w:fill="FFFFFF"/>
        <w:spacing w:lineRule="auto" w:line="240" w:before="0" w:after="0"/>
        <w:jc w:val="both"/>
        <w:rPr/>
      </w:pPr>
      <w:r>
        <w:rPr>
          <w:rFonts w:ascii="Times New Roman" w:hAnsi="Times New Roman"/>
          <w:b w:val="false"/>
          <w:bCs w:val="false"/>
          <w:i w:val="false"/>
          <w:iCs w:val="false"/>
          <w:sz w:val="20"/>
          <w:szCs w:val="20"/>
          <w:u w:val="none"/>
        </w:rPr>
        <w:t xml:space="preserve"> </w:t>
      </w:r>
    </w:p>
    <w:p>
      <w:pPr>
        <w:pStyle w:val="Style18"/>
        <w:shd w:val="clear" w:fill="FFFFFF"/>
        <w:spacing w:lineRule="auto" w:line="240" w:before="0" w:after="0"/>
        <w:jc w:val="both"/>
        <w:rPr/>
      </w:pPr>
      <w:r>
        <w:rPr>
          <w:rFonts w:ascii="Times New Roman" w:hAnsi="Times New Roman"/>
          <w:b w:val="false"/>
          <w:bCs w:val="false"/>
          <w:i w:val="false"/>
          <w:iCs w:val="false"/>
          <w:sz w:val="20"/>
          <w:szCs w:val="20"/>
          <w:u w:val="none"/>
        </w:rPr>
        <w:t xml:space="preserve">Питання 4. Затвердження положень про Загальні збори акціонерів, Наглядову раду, Генерального директора, Ревізора </w:t>
      </w:r>
      <w:r>
        <w:rPr>
          <w:rFonts w:ascii="Times New Roman" w:hAnsi="Times New Roman"/>
          <w:b w:val="false"/>
          <w:bCs w:val="false"/>
          <w:i w:val="false"/>
          <w:iCs w:val="false"/>
          <w:sz w:val="20"/>
          <w:szCs w:val="20"/>
          <w:u w:val="none"/>
          <w:lang w:val="uk-UA"/>
        </w:rPr>
        <w:t>Приватного акціонерного товариства «Кобос» в новій редакції.</w:t>
      </w:r>
    </w:p>
    <w:p>
      <w:pPr>
        <w:pStyle w:val="Style18"/>
        <w:shd w:val="clear" w:fill="FFFFFF"/>
        <w:spacing w:lineRule="auto" w:line="240" w:before="0" w:after="0"/>
        <w:jc w:val="both"/>
        <w:rPr/>
      </w:pPr>
      <w:r>
        <w:rPr>
          <w:rFonts w:ascii="Times New Roman" w:hAnsi="Times New Roman"/>
          <w:b w:val="false"/>
          <w:bCs w:val="false"/>
          <w:i w:val="false"/>
          <w:iCs w:val="false"/>
          <w:sz w:val="20"/>
          <w:szCs w:val="20"/>
          <w:u w:val="none"/>
          <w:lang w:val="uk-UA"/>
        </w:rPr>
        <w:t>Проект рішення:</w:t>
      </w:r>
    </w:p>
    <w:p>
      <w:pPr>
        <w:pStyle w:val="Style18"/>
        <w:shd w:val="clear" w:fill="FFFFFF"/>
        <w:spacing w:lineRule="auto" w:line="240" w:before="0" w:after="0"/>
        <w:jc w:val="both"/>
        <w:rPr/>
      </w:pPr>
      <w:r>
        <w:rPr>
          <w:rFonts w:ascii="Times New Roman" w:hAnsi="Times New Roman"/>
          <w:b w:val="false"/>
          <w:bCs w:val="false"/>
          <w:i w:val="false"/>
          <w:iCs w:val="false"/>
          <w:sz w:val="20"/>
          <w:szCs w:val="20"/>
          <w:u w:val="none"/>
          <w:lang w:val="uk-UA" w:eastAsia="ru-RU"/>
        </w:rPr>
        <w:t xml:space="preserve">Внести та затвердити зміни до </w:t>
      </w:r>
      <w:r>
        <w:rPr>
          <w:rFonts w:ascii="Times New Roman" w:hAnsi="Times New Roman"/>
          <w:b w:val="false"/>
          <w:bCs w:val="false"/>
          <w:i w:val="false"/>
          <w:iCs w:val="false"/>
          <w:sz w:val="20"/>
          <w:szCs w:val="20"/>
          <w:u w:val="none"/>
          <w:lang w:val="uk-UA"/>
        </w:rPr>
        <w:t xml:space="preserve">положень про Загальні збори акціонерів, Наглядову раду, Генерального директора, Ревізора Приватного акціонерного товариства «Кобос» шляхом викладення їх в новій редакції. </w:t>
      </w:r>
      <w:r>
        <w:rPr>
          <w:rFonts w:ascii="Times New Roman" w:hAnsi="Times New Roman"/>
          <w:b w:val="false"/>
          <w:bCs w:val="false"/>
          <w:i w:val="false"/>
          <w:iCs w:val="false"/>
          <w:sz w:val="20"/>
          <w:szCs w:val="20"/>
          <w:u w:val="none"/>
          <w:lang w:val="uk-UA" w:eastAsia="ru-RU"/>
        </w:rPr>
        <w:t>Уповноважити Генерального директора Приватного акціонерного товариства «Кобос» на підписання положень про Загальні збори акціонерів, Наглядову раду, Генерального директора, Ревізора Приватного акціонерного товариства «Кобос» в новій редакції.</w:t>
      </w:r>
    </w:p>
    <w:p>
      <w:pPr>
        <w:pStyle w:val="Style18"/>
        <w:shd w:val="clear" w:fill="FFFFFF"/>
        <w:spacing w:lineRule="auto" w:line="240" w:before="0" w:after="0"/>
        <w:jc w:val="both"/>
        <w:rPr>
          <w:b w:val="false"/>
          <w:b w:val="false"/>
          <w:bCs w:val="false"/>
          <w:i w:val="false"/>
          <w:i w:val="false"/>
          <w:iCs w:val="false"/>
          <w:u w:val="none"/>
        </w:rPr>
      </w:pPr>
      <w:r>
        <w:rPr>
          <w:b w:val="false"/>
          <w:bCs w:val="false"/>
          <w:i w:val="false"/>
          <w:iCs w:val="false"/>
          <w:u w:val="none"/>
        </w:rPr>
      </w:r>
    </w:p>
    <w:p>
      <w:pPr>
        <w:pStyle w:val="Style18"/>
        <w:shd w:val="clear" w:fill="FFFFFF"/>
        <w:spacing w:lineRule="auto" w:line="240" w:before="0" w:after="0"/>
        <w:jc w:val="both"/>
        <w:rPr/>
      </w:pPr>
      <w:r>
        <w:rPr>
          <w:rFonts w:ascii="Times New Roman" w:hAnsi="Times New Roman"/>
          <w:b w:val="false"/>
          <w:bCs w:val="false"/>
          <w:i w:val="false"/>
          <w:iCs w:val="false"/>
          <w:sz w:val="20"/>
          <w:szCs w:val="20"/>
          <w:u w:val="none"/>
        </w:rPr>
        <w:t xml:space="preserve">Питання 5. Затвердження річного звіту </w:t>
      </w:r>
      <w:r>
        <w:rPr>
          <w:rFonts w:ascii="Times New Roman" w:hAnsi="Times New Roman"/>
          <w:b w:val="false"/>
          <w:bCs w:val="false"/>
          <w:i w:val="false"/>
          <w:iCs w:val="false"/>
          <w:sz w:val="20"/>
          <w:szCs w:val="20"/>
          <w:u w:val="none"/>
          <w:lang w:val="uk-UA"/>
        </w:rPr>
        <w:t>Приватного акціонерного товариства «Кобос» за 2018 рік, в тому числі фінансову звітність Приватного акціонерного товариства «Кобос»за 2018 рік.</w:t>
      </w:r>
    </w:p>
    <w:p>
      <w:pPr>
        <w:pStyle w:val="Style18"/>
        <w:shd w:val="clear" w:fill="FFFFFF"/>
        <w:spacing w:lineRule="auto" w:line="240" w:before="0" w:after="0"/>
        <w:jc w:val="both"/>
        <w:rPr/>
      </w:pPr>
      <w:r>
        <w:rPr>
          <w:rFonts w:ascii="Times New Roman" w:hAnsi="Times New Roman"/>
          <w:b w:val="false"/>
          <w:bCs w:val="false"/>
          <w:i w:val="false"/>
          <w:iCs w:val="false"/>
          <w:sz w:val="20"/>
          <w:szCs w:val="20"/>
          <w:u w:val="none"/>
          <w:lang w:val="uk-UA"/>
        </w:rPr>
        <w:t>Проект рішення:</w:t>
      </w:r>
    </w:p>
    <w:p>
      <w:pPr>
        <w:pStyle w:val="Style18"/>
        <w:shd w:val="clear" w:fill="FFFFFF"/>
        <w:spacing w:lineRule="auto" w:line="240" w:before="0" w:after="0"/>
        <w:jc w:val="both"/>
        <w:rPr/>
      </w:pPr>
      <w:r>
        <w:rPr>
          <w:rFonts w:ascii="Times New Roman" w:hAnsi="Times New Roman"/>
          <w:b w:val="false"/>
          <w:bCs w:val="false"/>
          <w:i w:val="false"/>
          <w:iCs w:val="false"/>
          <w:sz w:val="20"/>
          <w:szCs w:val="20"/>
          <w:u w:val="none"/>
          <w:lang w:val="uk-UA"/>
        </w:rPr>
        <w:t>Затвердити річний звіт Приватного акціонерного товариства «Кобос» за 2018 рік, в тому числі фінансову звітність Приватного акціонерного товариства «Кобос» за 2018 рік.</w:t>
      </w:r>
    </w:p>
    <w:p>
      <w:pPr>
        <w:pStyle w:val="Style18"/>
        <w:shd w:val="clear" w:fill="FFFFFF"/>
        <w:spacing w:lineRule="auto" w:line="240" w:before="0" w:after="0"/>
        <w:jc w:val="both"/>
        <w:rPr>
          <w:b w:val="false"/>
          <w:b w:val="false"/>
          <w:bCs w:val="false"/>
          <w:i w:val="false"/>
          <w:i w:val="false"/>
          <w:iCs w:val="false"/>
          <w:u w:val="none"/>
          <w:lang w:val="uk-UA"/>
        </w:rPr>
      </w:pPr>
      <w:r>
        <w:rPr>
          <w:b w:val="false"/>
          <w:bCs w:val="false"/>
          <w:i w:val="false"/>
          <w:iCs w:val="false"/>
          <w:u w:val="none"/>
          <w:lang w:val="uk-UA"/>
        </w:rPr>
      </w:r>
    </w:p>
    <w:p>
      <w:pPr>
        <w:pStyle w:val="Style18"/>
        <w:shd w:val="clear" w:fill="FFFFFF"/>
        <w:spacing w:lineRule="auto" w:line="240" w:before="0" w:after="0"/>
        <w:jc w:val="both"/>
        <w:rPr/>
      </w:pPr>
      <w:r>
        <w:rPr>
          <w:rFonts w:ascii="Times New Roman" w:hAnsi="Times New Roman"/>
          <w:b w:val="false"/>
          <w:bCs w:val="false"/>
          <w:i w:val="false"/>
          <w:iCs w:val="false"/>
          <w:sz w:val="20"/>
          <w:szCs w:val="20"/>
          <w:u w:val="none"/>
        </w:rPr>
        <w:t xml:space="preserve">Питання 6. Розгляд висновків зовнішнього аудиту </w:t>
      </w:r>
      <w:r>
        <w:rPr>
          <w:rFonts w:ascii="Times New Roman" w:hAnsi="Times New Roman"/>
          <w:b w:val="false"/>
          <w:bCs w:val="false"/>
          <w:i w:val="false"/>
          <w:iCs w:val="false"/>
          <w:sz w:val="20"/>
          <w:szCs w:val="20"/>
          <w:u w:val="none"/>
          <w:lang w:val="uk-UA"/>
        </w:rPr>
        <w:t xml:space="preserve">за 2018 рік </w:t>
      </w:r>
      <w:r>
        <w:rPr>
          <w:rFonts w:ascii="Times New Roman" w:hAnsi="Times New Roman"/>
          <w:b w:val="false"/>
          <w:bCs w:val="false"/>
          <w:i w:val="false"/>
          <w:iCs w:val="false"/>
          <w:sz w:val="20"/>
          <w:szCs w:val="20"/>
          <w:u w:val="none"/>
        </w:rPr>
        <w:t>та затвердження заходів за результатами його розгляду.</w:t>
      </w:r>
    </w:p>
    <w:p>
      <w:pPr>
        <w:pStyle w:val="Style18"/>
        <w:shd w:val="clear" w:fill="FFFFFF"/>
        <w:spacing w:lineRule="auto" w:line="240" w:before="0" w:after="0"/>
        <w:jc w:val="both"/>
        <w:rPr/>
      </w:pPr>
      <w:r>
        <w:rPr>
          <w:rFonts w:ascii="Times New Roman" w:hAnsi="Times New Roman"/>
          <w:b w:val="false"/>
          <w:bCs w:val="false"/>
          <w:i w:val="false"/>
          <w:iCs w:val="false"/>
          <w:sz w:val="20"/>
          <w:szCs w:val="20"/>
          <w:u w:val="none"/>
        </w:rPr>
        <w:t>Проект рішення:</w:t>
      </w:r>
    </w:p>
    <w:p>
      <w:pPr>
        <w:pStyle w:val="Style18"/>
        <w:shd w:val="clear" w:fill="FFFFFF"/>
        <w:spacing w:lineRule="auto" w:line="240" w:before="0" w:after="0"/>
        <w:jc w:val="both"/>
        <w:rPr/>
      </w:pPr>
      <w:r>
        <w:rPr>
          <w:rFonts w:ascii="Times New Roman" w:hAnsi="Times New Roman"/>
          <w:b w:val="false"/>
          <w:bCs w:val="false"/>
          <w:i w:val="false"/>
          <w:iCs w:val="false"/>
          <w:sz w:val="20"/>
          <w:szCs w:val="20"/>
          <w:u w:val="none"/>
        </w:rPr>
        <w:t>Взяти до відома та затвердити заходи за результатами зовнішнього аудиту.</w:t>
      </w:r>
    </w:p>
    <w:p>
      <w:pPr>
        <w:pStyle w:val="Style18"/>
        <w:shd w:val="clear" w:fill="FFFFFF"/>
        <w:spacing w:lineRule="auto" w:line="240" w:before="0" w:after="0"/>
        <w:jc w:val="both"/>
        <w:rPr>
          <w:b w:val="false"/>
          <w:b w:val="false"/>
          <w:bCs w:val="false"/>
          <w:i w:val="false"/>
          <w:i w:val="false"/>
          <w:iCs w:val="false"/>
          <w:u w:val="none"/>
        </w:rPr>
      </w:pPr>
      <w:r>
        <w:rPr>
          <w:b w:val="false"/>
          <w:bCs w:val="false"/>
          <w:i w:val="false"/>
          <w:iCs w:val="false"/>
          <w:u w:val="none"/>
        </w:rPr>
      </w:r>
    </w:p>
    <w:p>
      <w:pPr>
        <w:pStyle w:val="Style18"/>
        <w:shd w:val="clear" w:fill="FFFFFF"/>
        <w:spacing w:lineRule="auto" w:line="240" w:before="0" w:after="0"/>
        <w:jc w:val="both"/>
        <w:rPr/>
      </w:pPr>
      <w:r>
        <w:rPr>
          <w:rFonts w:ascii="Times New Roman" w:hAnsi="Times New Roman"/>
          <w:b w:val="false"/>
          <w:bCs w:val="false"/>
          <w:i w:val="false"/>
          <w:iCs w:val="false"/>
          <w:sz w:val="20"/>
          <w:szCs w:val="20"/>
          <w:u w:val="none"/>
        </w:rPr>
        <w:t xml:space="preserve">Питання 7. Розподіл прибутку і збитків </w:t>
      </w:r>
      <w:r>
        <w:rPr>
          <w:rFonts w:ascii="Times New Roman" w:hAnsi="Times New Roman"/>
          <w:b w:val="false"/>
          <w:bCs w:val="false"/>
          <w:i w:val="false"/>
          <w:iCs w:val="false"/>
          <w:sz w:val="20"/>
          <w:szCs w:val="20"/>
          <w:u w:val="none"/>
          <w:lang w:val="uk-UA"/>
        </w:rPr>
        <w:t>Приватного акціонерного товариства «Кобос» за 2018 рік.</w:t>
      </w:r>
    </w:p>
    <w:p>
      <w:pPr>
        <w:pStyle w:val="Style18"/>
        <w:shd w:val="clear" w:fill="FFFFFF"/>
        <w:spacing w:lineRule="auto" w:line="240" w:before="0" w:after="0"/>
        <w:jc w:val="both"/>
        <w:rPr/>
      </w:pPr>
      <w:r>
        <w:rPr>
          <w:rFonts w:ascii="Times New Roman" w:hAnsi="Times New Roman"/>
          <w:b w:val="false"/>
          <w:bCs w:val="false"/>
          <w:i w:val="false"/>
          <w:iCs w:val="false"/>
          <w:sz w:val="20"/>
          <w:szCs w:val="20"/>
          <w:u w:val="none"/>
        </w:rPr>
        <w:t>Проект рішення:</w:t>
      </w:r>
    </w:p>
    <w:p>
      <w:pPr>
        <w:pStyle w:val="Style18"/>
        <w:shd w:val="clear" w:fill="FFFFFF"/>
        <w:spacing w:lineRule="auto" w:line="240" w:before="0" w:after="0"/>
        <w:jc w:val="both"/>
        <w:rPr/>
      </w:pPr>
      <w:r>
        <w:rPr>
          <w:rFonts w:ascii="Times New Roman" w:hAnsi="Times New Roman"/>
          <w:b w:val="false"/>
          <w:bCs w:val="false"/>
          <w:i w:val="false"/>
          <w:iCs w:val="false"/>
          <w:sz w:val="20"/>
          <w:szCs w:val="20"/>
          <w:u w:val="none"/>
        </w:rPr>
        <w:t>Відʼємний результат за 2018 рік віднести до збитків минулих років.</w:t>
      </w:r>
    </w:p>
    <w:p>
      <w:pPr>
        <w:pStyle w:val="Style18"/>
        <w:shd w:val="clear" w:fill="FFFFFF"/>
        <w:spacing w:lineRule="auto" w:line="240" w:before="0" w:after="0"/>
        <w:jc w:val="both"/>
        <w:rPr>
          <w:b w:val="false"/>
          <w:b w:val="false"/>
          <w:bCs w:val="false"/>
          <w:i w:val="false"/>
          <w:i w:val="false"/>
          <w:iCs w:val="false"/>
          <w:u w:val="none"/>
        </w:rPr>
      </w:pPr>
      <w:r>
        <w:rPr>
          <w:b w:val="false"/>
          <w:bCs w:val="false"/>
          <w:i w:val="false"/>
          <w:iCs w:val="false"/>
          <w:u w:val="none"/>
        </w:rPr>
      </w:r>
    </w:p>
    <w:p>
      <w:pPr>
        <w:pStyle w:val="Style18"/>
        <w:shd w:val="clear" w:fill="FFFFFF"/>
        <w:spacing w:lineRule="auto" w:line="240" w:before="0" w:after="0"/>
        <w:jc w:val="both"/>
        <w:rPr/>
      </w:pPr>
      <w:r>
        <w:rPr>
          <w:rFonts w:ascii="Times New Roman" w:hAnsi="Times New Roman"/>
          <w:b w:val="false"/>
          <w:bCs w:val="false"/>
          <w:i w:val="false"/>
          <w:iCs w:val="false"/>
          <w:sz w:val="20"/>
          <w:szCs w:val="20"/>
          <w:u w:val="none"/>
        </w:rPr>
        <w:t xml:space="preserve">Питання 8. Затвердження звіту та висновків Ревізора </w:t>
      </w:r>
      <w:r>
        <w:rPr>
          <w:rFonts w:ascii="Times New Roman" w:hAnsi="Times New Roman"/>
          <w:b w:val="false"/>
          <w:bCs w:val="false"/>
          <w:i w:val="false"/>
          <w:iCs w:val="false"/>
          <w:sz w:val="20"/>
          <w:szCs w:val="20"/>
          <w:u w:val="none"/>
          <w:lang w:val="uk-UA"/>
        </w:rPr>
        <w:t>Приватного акціонерного товариства «Кобос» за 2018 рік. Прийняття рішення за наслідками розгляду.</w:t>
      </w:r>
    </w:p>
    <w:p>
      <w:pPr>
        <w:pStyle w:val="Style18"/>
        <w:shd w:val="clear" w:fill="FFFFFF"/>
        <w:spacing w:lineRule="auto" w:line="240" w:before="0" w:after="0"/>
        <w:jc w:val="both"/>
        <w:rPr/>
      </w:pPr>
      <w:r>
        <w:rPr>
          <w:rFonts w:ascii="Times New Roman" w:hAnsi="Times New Roman"/>
          <w:b w:val="false"/>
          <w:bCs w:val="false"/>
          <w:i w:val="false"/>
          <w:iCs w:val="false"/>
          <w:sz w:val="20"/>
          <w:szCs w:val="20"/>
          <w:u w:val="none"/>
        </w:rPr>
        <w:t>Проект рішення:</w:t>
      </w:r>
    </w:p>
    <w:p>
      <w:pPr>
        <w:pStyle w:val="Style18"/>
        <w:shd w:val="clear" w:fill="FFFFFF"/>
        <w:spacing w:lineRule="auto" w:line="240" w:before="0" w:after="0"/>
        <w:jc w:val="both"/>
        <w:rPr/>
      </w:pPr>
      <w:r>
        <w:rPr>
          <w:rFonts w:ascii="Times New Roman" w:hAnsi="Times New Roman"/>
          <w:b w:val="false"/>
          <w:bCs w:val="false"/>
          <w:i w:val="false"/>
          <w:iCs w:val="false"/>
          <w:sz w:val="20"/>
          <w:szCs w:val="20"/>
          <w:u w:val="none"/>
        </w:rPr>
        <w:t>Затвердити звіт та висновки Ревізора Приватного акціонерного товариства «Кобос» за 2018 рік.</w:t>
      </w:r>
    </w:p>
    <w:p>
      <w:pPr>
        <w:pStyle w:val="Style18"/>
        <w:shd w:val="clear" w:fill="FFFFFF"/>
        <w:spacing w:lineRule="auto" w:line="240" w:before="0" w:after="0"/>
        <w:jc w:val="both"/>
        <w:rPr>
          <w:b w:val="false"/>
          <w:b w:val="false"/>
          <w:bCs w:val="false"/>
          <w:i w:val="false"/>
          <w:i w:val="false"/>
          <w:iCs w:val="false"/>
          <w:u w:val="none"/>
        </w:rPr>
      </w:pPr>
      <w:r>
        <w:rPr>
          <w:b w:val="false"/>
          <w:bCs w:val="false"/>
          <w:i w:val="false"/>
          <w:iCs w:val="false"/>
          <w:u w:val="none"/>
        </w:rPr>
      </w:r>
    </w:p>
    <w:p>
      <w:pPr>
        <w:pStyle w:val="Style18"/>
        <w:shd w:val="clear" w:fill="FFFFFF"/>
        <w:spacing w:lineRule="auto" w:line="240" w:before="0" w:after="0"/>
        <w:jc w:val="both"/>
        <w:rPr/>
      </w:pPr>
      <w:r>
        <w:rPr>
          <w:rFonts w:ascii="Times New Roman" w:hAnsi="Times New Roman"/>
          <w:b w:val="false"/>
          <w:bCs w:val="false"/>
          <w:i w:val="false"/>
          <w:iCs w:val="false"/>
          <w:sz w:val="20"/>
          <w:szCs w:val="20"/>
          <w:u w:val="none"/>
        </w:rPr>
        <w:t xml:space="preserve">Питання 9. Розгляд звіту Наглядової ради </w:t>
      </w:r>
      <w:r>
        <w:rPr>
          <w:rFonts w:ascii="Times New Roman" w:hAnsi="Times New Roman"/>
          <w:b w:val="false"/>
          <w:bCs w:val="false"/>
          <w:i w:val="false"/>
          <w:iCs w:val="false"/>
          <w:sz w:val="20"/>
          <w:szCs w:val="20"/>
          <w:u w:val="none"/>
          <w:lang w:val="uk-UA"/>
        </w:rPr>
        <w:t>Приватного акціонерного товариства «Кобос»</w:t>
      </w:r>
      <w:r>
        <w:rPr>
          <w:rFonts w:ascii="Times New Roman" w:hAnsi="Times New Roman"/>
          <w:b w:val="false"/>
          <w:bCs w:val="false"/>
          <w:i w:val="false"/>
          <w:iCs w:val="false"/>
          <w:sz w:val="20"/>
          <w:szCs w:val="20"/>
          <w:u w:val="none"/>
        </w:rPr>
        <w:t xml:space="preserve"> </w:t>
      </w:r>
      <w:r>
        <w:rPr>
          <w:rFonts w:ascii="Times New Roman" w:hAnsi="Times New Roman"/>
          <w:b w:val="false"/>
          <w:bCs w:val="false"/>
          <w:i w:val="false"/>
          <w:iCs w:val="false"/>
          <w:sz w:val="20"/>
          <w:szCs w:val="20"/>
          <w:u w:val="none"/>
          <w:lang w:val="uk-UA"/>
        </w:rPr>
        <w:t>за 2018 рік. Прийняття рішення та затвердження заходів за наслідками його розгляду.</w:t>
      </w:r>
    </w:p>
    <w:p>
      <w:pPr>
        <w:pStyle w:val="Style18"/>
        <w:shd w:val="clear" w:fill="FFFFFF"/>
        <w:spacing w:lineRule="auto" w:line="240" w:before="0" w:after="0"/>
        <w:jc w:val="both"/>
        <w:rPr/>
      </w:pPr>
      <w:r>
        <w:rPr>
          <w:rFonts w:ascii="Times New Roman" w:hAnsi="Times New Roman"/>
          <w:b w:val="false"/>
          <w:bCs w:val="false"/>
          <w:i w:val="false"/>
          <w:iCs w:val="false"/>
          <w:sz w:val="20"/>
          <w:szCs w:val="20"/>
          <w:u w:val="none"/>
          <w:lang w:val="uk-UA"/>
        </w:rPr>
        <w:t>Проект рішення:</w:t>
      </w:r>
    </w:p>
    <w:p>
      <w:pPr>
        <w:pStyle w:val="Style18"/>
        <w:shd w:val="clear" w:fill="FFFFFF"/>
        <w:spacing w:lineRule="auto" w:line="240" w:before="0" w:after="0"/>
        <w:jc w:val="both"/>
        <w:rPr/>
      </w:pPr>
      <w:r>
        <w:rPr>
          <w:rFonts w:ascii="Times New Roman" w:hAnsi="Times New Roman"/>
          <w:sz w:val="20"/>
          <w:szCs w:val="20"/>
        </w:rPr>
        <w:t xml:space="preserve">Затвердити звіт Наглядової ради Приватного акціонерного товариства «Кобос» за 2018 рік. </w:t>
      </w:r>
    </w:p>
    <w:p>
      <w:pPr>
        <w:pStyle w:val="Style18"/>
        <w:shd w:val="clear" w:fill="FFFFFF"/>
        <w:spacing w:lineRule="auto" w:line="240" w:before="0" w:after="0"/>
        <w:jc w:val="both"/>
        <w:rPr/>
      </w:pPr>
      <w:r>
        <w:rPr>
          <w:rFonts w:ascii="Times New Roman" w:hAnsi="Times New Roman"/>
          <w:b w:val="false"/>
          <w:bCs w:val="false"/>
          <w:i w:val="false"/>
          <w:iCs w:val="false"/>
          <w:sz w:val="20"/>
          <w:szCs w:val="20"/>
          <w:u w:val="none"/>
          <w:lang w:val="uk-UA"/>
        </w:rPr>
        <w:t>Затвердити заходи за наслідками розгляду.</w:t>
      </w:r>
    </w:p>
    <w:p>
      <w:pPr>
        <w:pStyle w:val="Style18"/>
        <w:shd w:val="clear" w:fill="FFFFFF"/>
        <w:spacing w:lineRule="auto" w:line="240" w:before="0" w:after="0"/>
        <w:jc w:val="both"/>
        <w:rPr>
          <w:b w:val="false"/>
          <w:b w:val="false"/>
          <w:bCs w:val="false"/>
          <w:i w:val="false"/>
          <w:i w:val="false"/>
          <w:iCs w:val="false"/>
          <w:u w:val="none"/>
          <w:lang w:val="uk-UA"/>
        </w:rPr>
      </w:pPr>
      <w:r>
        <w:rPr>
          <w:b w:val="false"/>
          <w:bCs w:val="false"/>
          <w:i w:val="false"/>
          <w:iCs w:val="false"/>
          <w:u w:val="none"/>
          <w:lang w:val="uk-UA"/>
        </w:rPr>
      </w:r>
    </w:p>
    <w:p>
      <w:pPr>
        <w:pStyle w:val="Style18"/>
        <w:shd w:val="clear" w:fill="FFFFFF"/>
        <w:spacing w:lineRule="auto" w:line="240" w:before="0" w:after="0"/>
        <w:jc w:val="both"/>
        <w:rPr/>
      </w:pPr>
      <w:r>
        <w:rPr>
          <w:rFonts w:ascii="Times New Roman" w:hAnsi="Times New Roman"/>
          <w:sz w:val="20"/>
          <w:szCs w:val="20"/>
        </w:rPr>
        <w:t>Питання 10. Розгляд звіту Генерального директора Приватного акціонерного товариства «Кобос» за 20</w:t>
      </w:r>
      <w:r>
        <w:rPr>
          <w:rFonts w:ascii="Times New Roman" w:hAnsi="Times New Roman"/>
          <w:b w:val="false"/>
          <w:bCs w:val="false"/>
          <w:sz w:val="20"/>
          <w:szCs w:val="20"/>
        </w:rPr>
        <w:t>18 рік. Прийняття рішення та затвердження заходів за наслідками його розгляду.</w:t>
      </w:r>
    </w:p>
    <w:p>
      <w:pPr>
        <w:pStyle w:val="Style18"/>
        <w:shd w:val="clear" w:fill="FFFFFF"/>
        <w:spacing w:lineRule="auto" w:line="240" w:before="0" w:after="0"/>
        <w:jc w:val="both"/>
        <w:rPr/>
      </w:pPr>
      <w:r>
        <w:rPr>
          <w:rFonts w:ascii="Times New Roman" w:hAnsi="Times New Roman"/>
          <w:b w:val="false"/>
          <w:bCs w:val="false"/>
          <w:sz w:val="20"/>
          <w:szCs w:val="20"/>
        </w:rPr>
        <w:t>Проект рішення:</w:t>
      </w:r>
    </w:p>
    <w:p>
      <w:pPr>
        <w:pStyle w:val="Style18"/>
        <w:shd w:val="clear" w:fill="FFFFFF"/>
        <w:spacing w:lineRule="auto" w:line="240" w:before="0" w:after="0"/>
        <w:jc w:val="both"/>
        <w:rPr/>
      </w:pPr>
      <w:r>
        <w:rPr>
          <w:rFonts w:ascii="Times New Roman" w:hAnsi="Times New Roman"/>
          <w:sz w:val="20"/>
          <w:szCs w:val="20"/>
        </w:rPr>
        <w:t xml:space="preserve">Затвердити звіт Генерального директора Приватного акціонерного товариства «Кобос» за 2018 рік. </w:t>
      </w:r>
    </w:p>
    <w:p>
      <w:pPr>
        <w:pStyle w:val="Style18"/>
        <w:shd w:val="clear" w:fill="FFFFFF"/>
        <w:spacing w:lineRule="auto" w:line="240" w:before="0" w:after="0"/>
        <w:jc w:val="both"/>
        <w:rPr/>
      </w:pPr>
      <w:r>
        <w:rPr>
          <w:rFonts w:ascii="Times New Roman" w:hAnsi="Times New Roman"/>
          <w:b w:val="false"/>
          <w:bCs w:val="false"/>
          <w:sz w:val="20"/>
          <w:szCs w:val="20"/>
        </w:rPr>
        <w:t>Затвердити заходи за наслідками розгляду.</w:t>
      </w:r>
    </w:p>
    <w:p>
      <w:pPr>
        <w:pStyle w:val="Style18"/>
        <w:shd w:val="clear" w:fill="FFFFFF"/>
        <w:spacing w:lineRule="auto" w:line="240" w:before="0" w:after="0"/>
        <w:jc w:val="both"/>
        <w:rPr>
          <w:b w:val="false"/>
          <w:b w:val="false"/>
          <w:bCs w:val="false"/>
        </w:rPr>
      </w:pPr>
      <w:r>
        <w:rPr>
          <w:b w:val="false"/>
          <w:bCs w:val="false"/>
        </w:rPr>
      </w:r>
    </w:p>
    <w:p>
      <w:pPr>
        <w:pStyle w:val="Style18"/>
        <w:numPr>
          <w:ilvl w:val="0"/>
          <w:numId w:val="0"/>
        </w:numPr>
        <w:shd w:val="clear" w:fill="FFFFFF"/>
        <w:spacing w:lineRule="auto" w:line="240" w:before="0" w:after="0"/>
        <w:ind w:left="0" w:right="0" w:hanging="0"/>
        <w:jc w:val="both"/>
        <w:outlineLvl w:val="0"/>
        <w:rPr/>
      </w:pPr>
      <w:r>
        <w:rPr>
          <w:rStyle w:val="Style13"/>
          <w:rFonts w:ascii="Times New Roman" w:hAnsi="Times New Roman"/>
          <w:b w:val="false"/>
          <w:bCs w:val="false"/>
          <w:color w:val="000000"/>
          <w:sz w:val="20"/>
          <w:szCs w:val="20"/>
          <w:lang w:val="uk-UA"/>
        </w:rPr>
        <w:t>Питання 11. Затвердження принципів (кодексу) корпоративного управління Приватного акціонерного товариства «Кобос».</w:t>
      </w:r>
    </w:p>
    <w:p>
      <w:pPr>
        <w:pStyle w:val="Style18"/>
        <w:numPr>
          <w:ilvl w:val="0"/>
          <w:numId w:val="0"/>
        </w:numPr>
        <w:shd w:val="clear" w:fill="FFFFFF"/>
        <w:spacing w:lineRule="auto" w:line="240" w:before="0" w:after="0"/>
        <w:ind w:left="0" w:right="0" w:hanging="0"/>
        <w:jc w:val="both"/>
        <w:outlineLvl w:val="0"/>
        <w:rPr/>
      </w:pPr>
      <w:r>
        <w:rPr>
          <w:rStyle w:val="Style13"/>
          <w:rFonts w:cs="Times New Roman" w:ascii="Times New Roman" w:hAnsi="Times New Roman"/>
          <w:b w:val="false"/>
          <w:bCs w:val="false"/>
          <w:i w:val="false"/>
          <w:iCs w:val="false"/>
          <w:color w:val="000000"/>
          <w:sz w:val="20"/>
          <w:szCs w:val="20"/>
          <w:lang w:val="uk-UA"/>
        </w:rPr>
        <w:t>Проект рішення:</w:t>
      </w:r>
    </w:p>
    <w:p>
      <w:pPr>
        <w:pStyle w:val="Style18"/>
        <w:numPr>
          <w:ilvl w:val="0"/>
          <w:numId w:val="0"/>
        </w:numPr>
        <w:shd w:val="clear" w:fill="FFFFFF"/>
        <w:spacing w:lineRule="auto" w:line="240" w:before="0" w:after="0"/>
        <w:ind w:left="0" w:right="0" w:hanging="0"/>
        <w:jc w:val="both"/>
        <w:outlineLvl w:val="0"/>
        <w:rPr/>
      </w:pPr>
      <w:r>
        <w:rPr>
          <w:rStyle w:val="Style13"/>
          <w:rFonts w:cs="Times New Roman" w:ascii="Times New Roman" w:hAnsi="Times New Roman"/>
          <w:b w:val="false"/>
          <w:bCs w:val="false"/>
          <w:i w:val="false"/>
          <w:iCs w:val="false"/>
          <w:color w:val="000000"/>
          <w:spacing w:val="-10"/>
          <w:sz w:val="20"/>
          <w:szCs w:val="20"/>
          <w:u w:val="none"/>
          <w:lang w:val="uk-UA" w:eastAsia="zxx" w:bidi="zxx"/>
        </w:rPr>
        <w:t>Затвердити принципи (кодекс) корпоративного управління Приватного акціонерного товариства “Кобос”.</w:t>
      </w:r>
    </w:p>
    <w:p>
      <w:pPr>
        <w:pStyle w:val="Style18"/>
        <w:numPr>
          <w:ilvl w:val="0"/>
          <w:numId w:val="0"/>
        </w:numPr>
        <w:shd w:val="clear" w:fill="FFFFFF"/>
        <w:spacing w:lineRule="auto" w:line="240" w:before="0" w:after="0"/>
        <w:ind w:left="0" w:right="0" w:hanging="0"/>
        <w:jc w:val="both"/>
        <w:outlineLvl w:val="0"/>
        <w:rPr>
          <w:rStyle w:val="Style13"/>
          <w:rFonts w:ascii="Times New Roman" w:hAnsi="Times New Roman" w:cs="Times New Roman"/>
          <w:b w:val="false"/>
          <w:b w:val="false"/>
          <w:bCs w:val="false"/>
          <w:i w:val="false"/>
          <w:i w:val="false"/>
          <w:iCs w:val="false"/>
          <w:color w:val="000000"/>
          <w:sz w:val="20"/>
          <w:szCs w:val="20"/>
          <w:lang w:val="uk-UA"/>
        </w:rPr>
      </w:pPr>
      <w:r>
        <w:rPr>
          <w:rFonts w:cs="Times New Roman" w:ascii="Times New Roman" w:hAnsi="Times New Roman"/>
          <w:b w:val="false"/>
          <w:bCs w:val="false"/>
          <w:i w:val="false"/>
          <w:iCs w:val="false"/>
          <w:color w:val="000000"/>
          <w:sz w:val="20"/>
          <w:szCs w:val="20"/>
          <w:lang w:val="uk-UA"/>
        </w:rPr>
      </w:r>
    </w:p>
    <w:p>
      <w:pPr>
        <w:pStyle w:val="Normal"/>
        <w:numPr>
          <w:ilvl w:val="0"/>
          <w:numId w:val="0"/>
        </w:numPr>
        <w:shd w:val="clear" w:fill="FFFFFF"/>
        <w:spacing w:lineRule="atLeast" w:line="240"/>
        <w:ind w:left="0" w:right="0" w:firstLine="601"/>
        <w:jc w:val="center"/>
        <w:outlineLvl w:val="0"/>
        <w:rPr>
          <w:rStyle w:val="Style13"/>
          <w:rFonts w:ascii="Times New Roman" w:hAnsi="Times New Roman" w:cs="Times New Roman"/>
          <w:b/>
          <w:b/>
          <w:i w:val="false"/>
          <w:i w:val="false"/>
          <w:iCs w:val="false"/>
          <w:color w:val="000000"/>
          <w:sz w:val="20"/>
          <w:szCs w:val="20"/>
          <w:lang w:val="uk-UA"/>
        </w:rPr>
      </w:pPr>
      <w:r>
        <w:rPr>
          <w:rFonts w:cs="Times New Roman" w:ascii="Times New Roman" w:hAnsi="Times New Roman"/>
          <w:b/>
          <w:i w:val="false"/>
          <w:iCs w:val="false"/>
          <w:color w:val="000000"/>
          <w:sz w:val="20"/>
          <w:szCs w:val="20"/>
          <w:lang w:val="uk-UA"/>
        </w:rPr>
      </w:r>
    </w:p>
    <w:p>
      <w:pPr>
        <w:pStyle w:val="Normal"/>
        <w:shd w:val="clear" w:fill="FFFFFF"/>
        <w:spacing w:lineRule="atLeast" w:line="240"/>
        <w:ind w:left="0" w:right="0" w:firstLine="540"/>
        <w:jc w:val="both"/>
        <w:rPr/>
      </w:pPr>
      <w:r>
        <w:rPr>
          <w:rStyle w:val="Style13"/>
          <w:rFonts w:cs="Times New Roman" w:ascii="Times New Roman" w:hAnsi="Times New Roman"/>
          <w:sz w:val="20"/>
          <w:szCs w:val="20"/>
          <w:lang w:val="uk-UA"/>
        </w:rPr>
        <w:t xml:space="preserve">Акціонери Товариства або їх уповноважені представники під час підготовки до річних загальних зборів можуть ознайомитися з документами, матеріалами, необхідними для прийняття рішень з питань порядку денного річних загальних зборів акціонерів </w:t>
      </w:r>
      <w:r>
        <w:rPr>
          <w:rStyle w:val="Style13"/>
          <w:rFonts w:cs="Times New Roman" w:ascii="Times New Roman" w:hAnsi="Times New Roman"/>
          <w:spacing w:val="-6"/>
          <w:sz w:val="20"/>
          <w:szCs w:val="20"/>
          <w:lang w:val="uk-UA" w:eastAsia="ru-RU"/>
        </w:rPr>
        <w:t xml:space="preserve">Приватного акціонерного товариства </w:t>
      </w:r>
      <w:r>
        <w:rPr>
          <w:rStyle w:val="Style14"/>
          <w:rFonts w:ascii="Times New Roman" w:hAnsi="Times New Roman"/>
          <w:sz w:val="20"/>
          <w:szCs w:val="20"/>
          <w:lang w:val="uk-UA"/>
        </w:rPr>
        <w:t xml:space="preserve"> </w:t>
      </w:r>
      <w:r>
        <w:rPr>
          <w:rStyle w:val="Style13"/>
          <w:rFonts w:ascii="Times New Roman" w:hAnsi="Times New Roman"/>
          <w:sz w:val="20"/>
          <w:szCs w:val="20"/>
          <w:lang w:val="uk-UA"/>
        </w:rPr>
        <w:t>"</w:t>
      </w:r>
      <w:r>
        <w:rPr>
          <w:rStyle w:val="Style13"/>
          <w:rFonts w:cs="Times New Roman" w:ascii="Times New Roman" w:hAnsi="Times New Roman"/>
          <w:spacing w:val="-6"/>
          <w:sz w:val="20"/>
          <w:szCs w:val="20"/>
          <w:lang w:val="uk-UA" w:eastAsia="ru-RU"/>
        </w:rPr>
        <w:t>Кобос</w:t>
      </w:r>
      <w:r>
        <w:rPr>
          <w:rStyle w:val="Style13"/>
          <w:rFonts w:ascii="Times New Roman" w:hAnsi="Times New Roman"/>
          <w:sz w:val="20"/>
          <w:szCs w:val="20"/>
          <w:lang w:val="uk-UA"/>
        </w:rPr>
        <w:t>"</w:t>
      </w:r>
      <w:r>
        <w:rPr>
          <w:rStyle w:val="Style13"/>
          <w:rFonts w:cs="Times New Roman" w:ascii="Times New Roman" w:hAnsi="Times New Roman"/>
          <w:spacing w:val="-6"/>
          <w:sz w:val="20"/>
          <w:szCs w:val="20"/>
          <w:lang w:val="uk-UA" w:eastAsia="ru-RU"/>
        </w:rPr>
        <w:t xml:space="preserve"> (32470815), скликаних на 23 квітня 2019 року, </w:t>
      </w:r>
      <w:r>
        <w:rPr>
          <w:rStyle w:val="Style13"/>
          <w:rFonts w:cs="Times New Roman" w:ascii="Times New Roman" w:hAnsi="Times New Roman"/>
          <w:sz w:val="20"/>
          <w:szCs w:val="20"/>
          <w:lang w:val="uk-UA"/>
        </w:rPr>
        <w:t xml:space="preserve">щоденно (крім суботи та неділі) з 09.00 год. до 17.00 год. (обідня перерва з 12.00 год. до 13.00 год.) за адресою: </w:t>
      </w:r>
      <w:r>
        <w:rPr>
          <w:rStyle w:val="Style13"/>
          <w:rFonts w:cs="Times New Roman" w:ascii="Times New Roman" w:hAnsi="Times New Roman"/>
          <w:color w:val="000000"/>
          <w:spacing w:val="-6"/>
          <w:sz w:val="20"/>
          <w:szCs w:val="20"/>
          <w:lang w:val="uk-UA" w:eastAsia="uk-UA"/>
        </w:rPr>
        <w:t xml:space="preserve">Україна, </w:t>
      </w:r>
      <w:r>
        <w:rPr>
          <w:rStyle w:val="Style13"/>
          <w:rFonts w:eastAsia="Times New Roman" w:cs="Times New Roman" w:ascii="Times New Roman" w:hAnsi="Times New Roman"/>
          <w:color w:val="000000"/>
          <w:spacing w:val="-6"/>
          <w:sz w:val="20"/>
          <w:szCs w:val="20"/>
          <w:lang w:val="uk-UA" w:eastAsia="zxx" w:bidi="zxx"/>
        </w:rPr>
        <w:t>03190, м. Київ, просп. Перемоги, 84 А.</w:t>
      </w:r>
    </w:p>
    <w:p>
      <w:pPr>
        <w:pStyle w:val="Normal"/>
        <w:shd w:val="clear" w:fill="FFFFFF"/>
        <w:spacing w:lineRule="atLeast" w:line="240"/>
        <w:ind w:left="0" w:right="0" w:firstLine="540"/>
        <w:jc w:val="both"/>
        <w:rPr/>
      </w:pPr>
      <w:r>
        <w:rPr>
          <w:rStyle w:val="Style13"/>
          <w:rFonts w:cs="Times New Roman" w:ascii="Times New Roman" w:hAnsi="Times New Roman"/>
          <w:sz w:val="20"/>
          <w:szCs w:val="20"/>
          <w:lang w:val="uk-UA"/>
        </w:rPr>
        <w:t xml:space="preserve">У день проведення річних загальних зборів акціонерів </w:t>
      </w:r>
      <w:r>
        <w:rPr>
          <w:rStyle w:val="Style13"/>
          <w:rFonts w:cs="Times New Roman" w:ascii="Times New Roman" w:hAnsi="Times New Roman"/>
          <w:spacing w:val="-6"/>
          <w:sz w:val="20"/>
          <w:szCs w:val="20"/>
          <w:lang w:val="uk-UA" w:eastAsia="ru-RU"/>
        </w:rPr>
        <w:t xml:space="preserve">Приватного акціонерного товариства </w:t>
      </w:r>
      <w:r>
        <w:rPr>
          <w:rStyle w:val="Style13"/>
          <w:rFonts w:cs="Times New Roman" w:ascii="Times New Roman" w:hAnsi="Times New Roman"/>
          <w:sz w:val="20"/>
          <w:szCs w:val="20"/>
          <w:lang w:val="uk-UA"/>
        </w:rPr>
        <w:t>"</w:t>
      </w:r>
      <w:r>
        <w:rPr>
          <w:rStyle w:val="Style13"/>
          <w:rFonts w:cs="Times New Roman" w:ascii="Times New Roman" w:hAnsi="Times New Roman"/>
          <w:spacing w:val="-6"/>
          <w:sz w:val="20"/>
          <w:szCs w:val="20"/>
          <w:lang w:val="uk-UA" w:eastAsia="ru-RU"/>
        </w:rPr>
        <w:t>Кобос</w:t>
      </w:r>
      <w:r>
        <w:rPr>
          <w:rStyle w:val="Style14"/>
          <w:rFonts w:cs="Times New Roman" w:ascii="Times New Roman" w:hAnsi="Times New Roman"/>
          <w:sz w:val="20"/>
          <w:szCs w:val="20"/>
          <w:lang w:val="uk-UA"/>
        </w:rPr>
        <w:t xml:space="preserve"> </w:t>
      </w:r>
      <w:r>
        <w:rPr>
          <w:rStyle w:val="Style13"/>
          <w:rFonts w:cs="Times New Roman" w:ascii="Times New Roman" w:hAnsi="Times New Roman"/>
          <w:sz w:val="20"/>
          <w:szCs w:val="20"/>
          <w:lang w:val="uk-UA"/>
        </w:rPr>
        <w:t>"</w:t>
      </w:r>
      <w:r>
        <w:rPr>
          <w:rStyle w:val="Style13"/>
          <w:rFonts w:cs="Times New Roman" w:ascii="Times New Roman" w:hAnsi="Times New Roman"/>
          <w:spacing w:val="-6"/>
          <w:sz w:val="20"/>
          <w:szCs w:val="20"/>
          <w:lang w:val="uk-UA" w:eastAsia="ru-RU"/>
        </w:rPr>
        <w:t xml:space="preserve"> (32470815), скликаних на 23 квітня 2019 року,</w:t>
      </w:r>
      <w:r>
        <w:rPr>
          <w:rStyle w:val="Style13"/>
          <w:rFonts w:cs="Times New Roman" w:ascii="Times New Roman" w:hAnsi="Times New Roman"/>
          <w:sz w:val="20"/>
          <w:szCs w:val="20"/>
          <w:lang w:val="uk-UA"/>
        </w:rPr>
        <w:t xml:space="preserve"> ознайомитися з документами можливо у місці проведення річних загальних зборів акціонерів Товариства з 9 години 30 хвилин до 9 години 45 хвилин.</w:t>
      </w:r>
    </w:p>
    <w:p>
      <w:pPr>
        <w:pStyle w:val="Normal"/>
        <w:shd w:val="clear" w:fill="FFFFFF"/>
        <w:spacing w:lineRule="atLeast" w:line="240" w:before="0" w:after="120"/>
        <w:ind w:left="0" w:right="0" w:firstLine="539"/>
        <w:jc w:val="both"/>
        <w:rPr/>
      </w:pPr>
      <w:r>
        <w:rPr>
          <w:rStyle w:val="Style13"/>
          <w:rFonts w:cs="Times New Roman" w:ascii="Times New Roman" w:hAnsi="Times New Roman"/>
          <w:sz w:val="20"/>
          <w:szCs w:val="20"/>
          <w:lang w:val="uk-UA"/>
        </w:rPr>
        <w:t>Відповідальною особою за порядок ознайомлення акціонерів з документами є –  Павленко Вячеслав Володимирович —  Генеральний директор ПрАТ “КОБОС”.  Телефон для довідок: 067- 162-34-87.</w:t>
      </w:r>
    </w:p>
    <w:p>
      <w:pPr>
        <w:pStyle w:val="Normal"/>
        <w:shd w:val="clear" w:fill="FFFFFF"/>
        <w:spacing w:before="0" w:after="0"/>
        <w:jc w:val="both"/>
        <w:rPr/>
      </w:pPr>
      <w:r>
        <w:rPr>
          <w:rFonts w:ascii="Times New Roman" w:hAnsi="Times New Roman"/>
          <w:sz w:val="20"/>
          <w:szCs w:val="20"/>
        </w:rPr>
        <w:tab/>
        <w:t xml:space="preserve">Акціонери Товариства або їх уповноважені представники можуть після отримання повідомлення про проведення Загальних Зборів </w:t>
      </w:r>
      <w:r>
        <w:rPr>
          <w:rFonts w:ascii="Times New Roman" w:hAnsi="Times New Roman"/>
          <w:sz w:val="20"/>
          <w:szCs w:val="20"/>
          <w:u w:val="none"/>
        </w:rPr>
        <w:t>користуватися</w:t>
      </w:r>
      <w:r>
        <w:rPr>
          <w:rStyle w:val="Style15"/>
          <w:rFonts w:ascii="Times New Roman" w:hAnsi="Times New Roman"/>
          <w:sz w:val="20"/>
          <w:szCs w:val="20"/>
        </w:rPr>
        <w:t xml:space="preserve"> </w:t>
      </w:r>
      <w:r>
        <w:rPr>
          <w:rStyle w:val="Style15"/>
          <w:rFonts w:ascii="Times New Roman" w:hAnsi="Times New Roman"/>
          <w:color w:val="000000"/>
          <w:sz w:val="20"/>
          <w:szCs w:val="20"/>
          <w:u w:val="none"/>
        </w:rPr>
        <w:t>правами, наданими акціонерам у порядку та строки, що визначені статтями 36 та 38 Закону України «Про акціонерні товариства».</w:t>
      </w:r>
    </w:p>
    <w:p>
      <w:pPr>
        <w:pStyle w:val="Normal"/>
        <w:shd w:val="clear" w:fill="FFFFFF"/>
        <w:spacing w:before="0" w:after="0"/>
        <w:jc w:val="both"/>
        <w:rPr/>
      </w:pPr>
      <w:r>
        <w:rPr>
          <w:rFonts w:ascii="Times New Roman" w:hAnsi="Times New Roman"/>
          <w:sz w:val="20"/>
          <w:szCs w:val="20"/>
        </w:rPr>
        <w:tab/>
        <w:t xml:space="preserve">Від дати надіслання повідомлення про проведення річних загальних зборів до дати проведення річних загальних зборів, відповідно до ст. 36 Закону України «Про акціонерні товариства», кожен акціонер має право ознайомитись з документами, необхідними для прийняття рішень з питань порядку денного, з формою бюлетеня для голосування. </w:t>
      </w:r>
    </w:p>
    <w:p>
      <w:pPr>
        <w:pStyle w:val="Normal"/>
        <w:numPr>
          <w:ilvl w:val="0"/>
          <w:numId w:val="0"/>
        </w:numPr>
        <w:shd w:val="clear" w:fill="FFFFFF"/>
        <w:spacing w:lineRule="atLeast" w:line="240" w:before="0" w:after="0"/>
        <w:ind w:left="0" w:right="0" w:firstLine="539"/>
        <w:jc w:val="both"/>
        <w:outlineLvl w:val="0"/>
        <w:rPr/>
      </w:pPr>
      <w:r>
        <w:rPr>
          <w:rFonts w:cs="Times New Roman" w:ascii="Times New Roman" w:hAnsi="Times New Roman"/>
          <w:sz w:val="20"/>
          <w:szCs w:val="20"/>
          <w:lang w:val="uk-UA"/>
        </w:rPr>
        <w:t xml:space="preserve">Акціонери вправі надавати письмові запитання щодо питань включених до проекту порядку денного річних загальних зборів та порядку денного річних загальних зборів, відповіді на які надаються  ПрАТ “КОБОС” до початку річних загальних зборів в письмовій формі поштою чи вручаються акціонерам (їх уповноваженим представникам) особисто не пізніше ніж в десятиденний строк з дати отримання. Генеральним директором ПрАТ “КОБОС” може бути визначено інший спосіб відповіді на письмові запитання акціонерів, в тому числі електронною поштою, чи розміщення відповідей на власному веб-сайті. За рішенням Генерального директора ПрАТ “КОБОС”, на всі запитання однакового змісту може бути надано одну загальну відповідь. </w:t>
      </w:r>
    </w:p>
    <w:p>
      <w:pPr>
        <w:pStyle w:val="Normal"/>
        <w:numPr>
          <w:ilvl w:val="0"/>
          <w:numId w:val="0"/>
        </w:numPr>
        <w:shd w:val="clear" w:fill="FFFFFF"/>
        <w:spacing w:lineRule="atLeast" w:line="240" w:before="0" w:after="0"/>
        <w:ind w:left="0" w:right="0" w:firstLine="539"/>
        <w:jc w:val="both"/>
        <w:outlineLvl w:val="0"/>
        <w:rPr/>
      </w:pPr>
      <w:r>
        <w:rPr>
          <w:rFonts w:cs="Times New Roman" w:ascii="Times New Roman" w:hAnsi="Times New Roman"/>
          <w:sz w:val="20"/>
          <w:szCs w:val="20"/>
          <w:lang w:val="uk-UA"/>
        </w:rPr>
        <w:t xml:space="preserve">Відповідно до статті 38 </w:t>
      </w:r>
      <w:bookmarkStart w:id="0" w:name="__DdeLink__3011_1007442338"/>
      <w:r>
        <w:rPr>
          <w:rFonts w:cs="Times New Roman" w:ascii="Times New Roman" w:hAnsi="Times New Roman"/>
          <w:sz w:val="20"/>
          <w:szCs w:val="20"/>
          <w:lang w:val="uk-UA"/>
        </w:rPr>
        <w:t>З</w:t>
      </w:r>
      <w:r>
        <w:rPr>
          <w:rStyle w:val="Style13"/>
          <w:rFonts w:cs="Times New Roman" w:ascii="Times New Roman" w:hAnsi="Times New Roman"/>
          <w:sz w:val="20"/>
          <w:szCs w:val="20"/>
          <w:lang w:val="uk-UA"/>
        </w:rPr>
        <w:t>акону України “Про акціонерне товариство”</w:t>
      </w:r>
      <w:bookmarkEnd w:id="0"/>
      <w:r>
        <w:rPr>
          <w:rStyle w:val="Style13"/>
          <w:rFonts w:cs="Times New Roman" w:ascii="Times New Roman" w:hAnsi="Times New Roman"/>
          <w:sz w:val="20"/>
          <w:szCs w:val="20"/>
          <w:lang w:val="uk-UA"/>
        </w:rPr>
        <w:t xml:space="preserve"> кожен акціонер має право </w:t>
      </w:r>
      <w:r>
        <w:rPr>
          <w:rFonts w:ascii="Times New Roman" w:hAnsi="Times New Roman"/>
          <w:sz w:val="20"/>
          <w:szCs w:val="20"/>
        </w:rPr>
        <w:t xml:space="preserve">внести пропозиції щодо питань, включених до проекту порядку денного річних загальних зборів не пізніше ніж за 20 днів до дати проведення загальних зборів. </w:t>
      </w:r>
    </w:p>
    <w:p>
      <w:pPr>
        <w:pStyle w:val="Normal"/>
        <w:shd w:val="clear" w:fill="FFFFFF"/>
        <w:spacing w:before="0" w:after="0"/>
        <w:jc w:val="both"/>
        <w:rPr/>
      </w:pPr>
      <w:r>
        <w:rPr>
          <w:rFonts w:ascii="Times New Roman" w:hAnsi="Times New Roman"/>
          <w:sz w:val="20"/>
          <w:szCs w:val="20"/>
        </w:rPr>
        <w:t xml:space="preserve">          </w:t>
      </w:r>
      <w:r>
        <w:rPr>
          <w:rFonts w:ascii="Times New Roman" w:hAnsi="Times New Roman"/>
          <w:sz w:val="20"/>
          <w:szCs w:val="20"/>
        </w:rPr>
        <w:t xml:space="preserve">Оскарження акціонером рішення про відмову у включенні його пропозицій до проекту порядку денного до суду не зупиняє проведення загальних зборів. </w:t>
      </w:r>
    </w:p>
    <w:p>
      <w:pPr>
        <w:pStyle w:val="Normal"/>
        <w:shd w:val="clear" w:fill="FFFFFF"/>
        <w:spacing w:lineRule="atLeast" w:line="240" w:before="0" w:after="120"/>
        <w:ind w:left="0" w:right="0" w:firstLine="539"/>
        <w:jc w:val="both"/>
        <w:rPr/>
      </w:pPr>
      <w:r>
        <w:rPr>
          <w:rFonts w:cs="Times New Roman" w:ascii="Times New Roman" w:hAnsi="Times New Roman"/>
          <w:sz w:val="20"/>
          <w:szCs w:val="20"/>
          <w:lang w:val="uk-UA"/>
        </w:rPr>
        <w:t xml:space="preserve">Пропозиції до проекту порядку денного річних загальних зборів </w:t>
      </w:r>
      <w:r>
        <w:rPr>
          <w:rStyle w:val="Style13"/>
          <w:rFonts w:cs="Times New Roman" w:ascii="Times New Roman" w:hAnsi="Times New Roman"/>
          <w:sz w:val="20"/>
          <w:szCs w:val="20"/>
          <w:lang w:val="uk-UA"/>
        </w:rPr>
        <w:t xml:space="preserve">акціонерів </w:t>
      </w:r>
      <w:r>
        <w:rPr>
          <w:rStyle w:val="Style13"/>
          <w:rFonts w:cs="Times New Roman" w:ascii="Times New Roman" w:hAnsi="Times New Roman"/>
          <w:spacing w:val="-6"/>
          <w:sz w:val="20"/>
          <w:szCs w:val="20"/>
          <w:lang w:val="uk-UA" w:eastAsia="ru-RU"/>
        </w:rPr>
        <w:t xml:space="preserve">Приватного акціонерного товариства </w:t>
      </w:r>
      <w:r>
        <w:rPr>
          <w:rStyle w:val="Style14"/>
          <w:rFonts w:cs="Times New Roman" w:ascii="Times New Roman" w:hAnsi="Times New Roman"/>
          <w:sz w:val="20"/>
          <w:szCs w:val="20"/>
          <w:lang w:val="uk-UA"/>
        </w:rPr>
        <w:t xml:space="preserve"> </w:t>
      </w:r>
      <w:r>
        <w:rPr>
          <w:rStyle w:val="Style13"/>
          <w:rFonts w:cs="Times New Roman" w:ascii="Times New Roman" w:hAnsi="Times New Roman"/>
          <w:sz w:val="20"/>
          <w:szCs w:val="20"/>
          <w:lang w:val="uk-UA"/>
        </w:rPr>
        <w:t>"</w:t>
      </w:r>
      <w:r>
        <w:rPr>
          <w:rStyle w:val="Style13"/>
          <w:rFonts w:cs="Times New Roman" w:ascii="Times New Roman" w:hAnsi="Times New Roman"/>
          <w:spacing w:val="-6"/>
          <w:sz w:val="20"/>
          <w:szCs w:val="20"/>
          <w:lang w:val="uk-UA" w:eastAsia="ru-RU"/>
        </w:rPr>
        <w:t>Кобос</w:t>
      </w:r>
      <w:r>
        <w:rPr>
          <w:rStyle w:val="Style13"/>
          <w:rFonts w:cs="Times New Roman" w:ascii="Times New Roman" w:hAnsi="Times New Roman"/>
          <w:sz w:val="20"/>
          <w:szCs w:val="20"/>
          <w:lang w:val="uk-UA"/>
        </w:rPr>
        <w:t>"</w:t>
      </w:r>
      <w:r>
        <w:rPr>
          <w:rStyle w:val="Style13"/>
          <w:rFonts w:cs="Times New Roman" w:ascii="Times New Roman" w:hAnsi="Times New Roman"/>
          <w:spacing w:val="-6"/>
          <w:sz w:val="20"/>
          <w:szCs w:val="20"/>
          <w:lang w:val="uk-UA" w:eastAsia="ru-RU"/>
        </w:rPr>
        <w:t xml:space="preserve"> (32470815), скликаних на 23 квітня 2019 року,</w:t>
      </w:r>
      <w:r>
        <w:rPr>
          <w:rFonts w:cs="Times New Roman" w:ascii="Times New Roman" w:hAnsi="Times New Roman"/>
          <w:sz w:val="20"/>
          <w:szCs w:val="20"/>
          <w:lang w:val="uk-UA"/>
        </w:rPr>
        <w:t xml:space="preserve"> письмові запитання щодо питань включених до проекту порядку денного річних загальних зборів подаються в письмовій формі згідно вимог Закону України “Про акціонерні товариства”, за адресою: </w:t>
      </w:r>
      <w:r>
        <w:rPr>
          <w:rStyle w:val="Style13"/>
          <w:rFonts w:cs="Times New Roman" w:ascii="Times New Roman" w:hAnsi="Times New Roman"/>
          <w:color w:val="000000"/>
          <w:spacing w:val="-6"/>
          <w:sz w:val="20"/>
          <w:szCs w:val="20"/>
          <w:lang w:val="uk-UA" w:eastAsia="uk-UA"/>
        </w:rPr>
        <w:t xml:space="preserve">Україна, </w:t>
      </w:r>
      <w:r>
        <w:rPr>
          <w:rStyle w:val="Style13"/>
          <w:rFonts w:eastAsia="Times New Roman" w:cs="Times New Roman" w:ascii="Times New Roman" w:hAnsi="Times New Roman"/>
          <w:color w:val="000000"/>
          <w:spacing w:val="-6"/>
          <w:sz w:val="20"/>
          <w:szCs w:val="20"/>
          <w:lang w:val="uk-UA" w:eastAsia="zxx" w:bidi="zxx"/>
        </w:rPr>
        <w:t>03190, м. Київ, просп. Перемоги, 84 А</w:t>
      </w:r>
      <w:r>
        <w:rPr>
          <w:rFonts w:cs="Times New Roman" w:ascii="Times New Roman" w:hAnsi="Times New Roman"/>
          <w:sz w:val="20"/>
          <w:szCs w:val="20"/>
          <w:lang w:val="uk-UA"/>
        </w:rPr>
        <w:t>.</w:t>
      </w:r>
    </w:p>
    <w:p>
      <w:pPr>
        <w:pStyle w:val="Normal"/>
        <w:numPr>
          <w:ilvl w:val="0"/>
          <w:numId w:val="0"/>
        </w:numPr>
        <w:shd w:val="clear" w:fill="FFFFFF"/>
        <w:spacing w:lineRule="atLeast" w:line="240" w:before="0" w:after="0"/>
        <w:ind w:left="0" w:right="0" w:firstLine="539"/>
        <w:jc w:val="both"/>
        <w:outlineLvl w:val="0"/>
        <w:rPr/>
      </w:pPr>
      <w:r>
        <w:rPr>
          <w:rFonts w:cs="Times New Roman" w:ascii="Times New Roman" w:hAnsi="Times New Roman"/>
          <w:sz w:val="20"/>
          <w:szCs w:val="20"/>
          <w:lang w:val="uk-UA"/>
        </w:rPr>
        <w:t>Адреса власного веб-сайту, на якому розміщена інформація з проектом рішень щодо кожного з питань, включених до проекту порядку денного, а також інша інформація щодо річних загальних зборів акціонерів, передбачена ч.4 ст.35 З</w:t>
      </w:r>
      <w:r>
        <w:rPr>
          <w:rStyle w:val="Style13"/>
          <w:rFonts w:cs="Times New Roman" w:ascii="Times New Roman" w:hAnsi="Times New Roman"/>
          <w:sz w:val="20"/>
          <w:szCs w:val="20"/>
          <w:lang w:val="uk-UA"/>
        </w:rPr>
        <w:t>акону України “Про акціонерне товариство”:</w:t>
      </w:r>
      <w:bookmarkStart w:id="1" w:name="__DdeLink__3139_104397719"/>
      <w:r>
        <w:rPr>
          <w:rStyle w:val="Style13"/>
          <w:rFonts w:cs="Times New Roman" w:ascii="Times New Roman" w:hAnsi="Times New Roman"/>
          <w:sz w:val="20"/>
          <w:szCs w:val="20"/>
          <w:lang w:val="uk-UA"/>
        </w:rPr>
        <w:t xml:space="preserve"> </w:t>
      </w:r>
      <w:hyperlink r:id="rId2">
        <w:bookmarkEnd w:id="1"/>
        <w:r>
          <w:rPr>
            <w:rStyle w:val="Style13"/>
            <w:rFonts w:cs="Times New Roman" w:ascii="Times New Roman" w:hAnsi="Times New Roman"/>
            <w:sz w:val="20"/>
            <w:szCs w:val="20"/>
            <w:lang w:val="uk-UA"/>
          </w:rPr>
          <w:t>https://kobos.emitents.net.ua</w:t>
        </w:r>
      </w:hyperlink>
    </w:p>
    <w:p>
      <w:pPr>
        <w:pStyle w:val="Normal"/>
        <w:shd w:val="clear" w:fill="FFFFFF"/>
        <w:spacing w:lineRule="atLeast" w:line="240" w:before="0" w:after="120"/>
        <w:ind w:left="0" w:right="0" w:firstLine="539"/>
        <w:jc w:val="both"/>
        <w:rPr>
          <w:rStyle w:val="Style13"/>
          <w:rFonts w:ascii="Times New Roman" w:hAnsi="Times New Roman" w:cs="Times New Roman"/>
          <w:sz w:val="20"/>
          <w:szCs w:val="20"/>
          <w:lang w:val="uk-UA"/>
        </w:rPr>
      </w:pPr>
      <w:r>
        <w:rPr>
          <w:rFonts w:cs="Times New Roman" w:ascii="Times New Roman" w:hAnsi="Times New Roman"/>
          <w:sz w:val="20"/>
          <w:szCs w:val="20"/>
          <w:lang w:val="uk-UA"/>
        </w:rPr>
      </w:r>
    </w:p>
    <w:p>
      <w:pPr>
        <w:pStyle w:val="Style18"/>
        <w:shd w:val="clear" w:fill="FFFFFF"/>
        <w:rPr/>
      </w:pPr>
      <w:r>
        <w:rPr>
          <w:sz w:val="20"/>
          <w:szCs w:val="20"/>
        </w:rPr>
        <w:t>Основні показники фінансово-господарської діяльності Товариства за 2018 рік (тис. грн)*</w:t>
      </w:r>
    </w:p>
    <w:p>
      <w:pPr>
        <w:pStyle w:val="Normal"/>
        <w:shd w:val="clear" w:fill="FFFFFF"/>
        <w:rPr>
          <w:sz w:val="4"/>
          <w:szCs w:val="4"/>
        </w:rPr>
      </w:pPr>
      <w:bookmarkStart w:id="2" w:name="n2118"/>
      <w:bookmarkStart w:id="3" w:name="n2118"/>
      <w:bookmarkEnd w:id="3"/>
      <w:r>
        <w:rPr>
          <w:sz w:val="4"/>
          <w:szCs w:val="4"/>
        </w:rPr>
      </w:r>
    </w:p>
    <w:tbl>
      <w:tblPr>
        <w:tblW w:w="5000" w:type="pct"/>
        <w:jc w:val="left"/>
        <w:tblInd w:w="0" w:type="dxa"/>
        <w:tblBorders/>
        <w:tblCellMar>
          <w:top w:w="0" w:type="dxa"/>
          <w:left w:w="0" w:type="dxa"/>
          <w:bottom w:w="0" w:type="dxa"/>
          <w:right w:w="0" w:type="dxa"/>
        </w:tblCellMar>
        <w:tblLook w:val="0000" w:noVBand="0" w:noHBand="0" w:lastColumn="0" w:firstColumn="0" w:lastRow="0" w:firstRow="0"/>
      </w:tblPr>
      <w:tblGrid>
        <w:gridCol w:w="5614"/>
        <w:gridCol w:w="2022"/>
        <w:gridCol w:w="2002"/>
      </w:tblGrid>
      <w:tr>
        <w:trPr>
          <w:trHeight w:val="131" w:hRule="atLeast"/>
        </w:trPr>
        <w:tc>
          <w:tcPr>
            <w:tcW w:w="5614" w:type="dxa"/>
            <w:vMerge w:val="restart"/>
            <w:tcBorders/>
            <w:shd w:color="auto" w:fill="auto" w:val="clear"/>
            <w:vAlign w:val="center"/>
          </w:tcPr>
          <w:p>
            <w:pPr>
              <w:pStyle w:val="Style22"/>
              <w:shd w:val="clear" w:fill="FFFFFF"/>
              <w:spacing w:before="0" w:after="0"/>
              <w:rPr/>
            </w:pPr>
            <w:r>
              <w:rPr>
                <w:rFonts w:ascii="Times New Roman" w:hAnsi="Times New Roman"/>
                <w:sz w:val="20"/>
                <w:szCs w:val="20"/>
              </w:rPr>
              <w:t>Найменування показника</w:t>
            </w:r>
          </w:p>
        </w:tc>
        <w:tc>
          <w:tcPr>
            <w:tcW w:w="4024" w:type="dxa"/>
            <w:gridSpan w:val="2"/>
            <w:tcBorders/>
            <w:shd w:color="auto" w:fill="auto" w:val="clear"/>
            <w:vAlign w:val="center"/>
          </w:tcPr>
          <w:p>
            <w:pPr>
              <w:pStyle w:val="Style22"/>
              <w:shd w:val="clear" w:fill="FFFFFF"/>
              <w:spacing w:before="0" w:after="0"/>
              <w:rPr/>
            </w:pPr>
            <w:r>
              <w:rPr>
                <w:rFonts w:ascii="Times New Roman" w:hAnsi="Times New Roman"/>
                <w:sz w:val="20"/>
                <w:szCs w:val="20"/>
              </w:rPr>
              <w:t>Період</w:t>
            </w:r>
          </w:p>
        </w:tc>
      </w:tr>
      <w:tr>
        <w:trPr>
          <w:trHeight w:val="116" w:hRule="atLeast"/>
        </w:trPr>
        <w:tc>
          <w:tcPr>
            <w:tcW w:w="5614" w:type="dxa"/>
            <w:vMerge w:val="continue"/>
            <w:tcBorders/>
            <w:shd w:color="auto" w:fill="auto" w:val="clear"/>
            <w:vAlign w:val="center"/>
          </w:tcPr>
          <w:p>
            <w:pPr>
              <w:pStyle w:val="Style22"/>
              <w:shd w:val="clear" w:fill="FFFFFF"/>
              <w:spacing w:before="0" w:after="0"/>
              <w:rPr>
                <w:rFonts w:ascii="Times New Roman" w:hAnsi="Times New Roman"/>
                <w:sz w:val="20"/>
                <w:szCs w:val="20"/>
              </w:rPr>
            </w:pPr>
            <w:r>
              <w:rPr>
                <w:rFonts w:ascii="Times New Roman" w:hAnsi="Times New Roman"/>
                <w:sz w:val="20"/>
                <w:szCs w:val="20"/>
              </w:rPr>
            </w:r>
          </w:p>
        </w:tc>
        <w:tc>
          <w:tcPr>
            <w:tcW w:w="2022" w:type="dxa"/>
            <w:tcBorders/>
            <w:shd w:color="auto" w:fill="auto" w:val="clear"/>
            <w:vAlign w:val="center"/>
          </w:tcPr>
          <w:p>
            <w:pPr>
              <w:pStyle w:val="Style22"/>
              <w:shd w:val="clear" w:fill="FFFFFF"/>
              <w:spacing w:before="0" w:after="0"/>
              <w:rPr/>
            </w:pPr>
            <w:r>
              <w:rPr>
                <w:rFonts w:ascii="Times New Roman" w:hAnsi="Times New Roman"/>
                <w:sz w:val="20"/>
                <w:szCs w:val="20"/>
              </w:rPr>
              <w:t>звітний</w:t>
            </w:r>
          </w:p>
        </w:tc>
        <w:tc>
          <w:tcPr>
            <w:tcW w:w="2002" w:type="dxa"/>
            <w:tcBorders/>
            <w:shd w:color="auto" w:fill="auto" w:val="clear"/>
            <w:vAlign w:val="center"/>
          </w:tcPr>
          <w:p>
            <w:pPr>
              <w:pStyle w:val="Style22"/>
              <w:shd w:val="clear" w:fill="FFFFFF"/>
              <w:spacing w:before="0" w:after="0"/>
              <w:rPr/>
            </w:pPr>
            <w:r>
              <w:rPr>
                <w:rFonts w:ascii="Times New Roman" w:hAnsi="Times New Roman"/>
                <w:sz w:val="20"/>
                <w:szCs w:val="20"/>
              </w:rPr>
              <w:t>попередній</w:t>
            </w:r>
          </w:p>
        </w:tc>
      </w:tr>
      <w:tr>
        <w:trPr>
          <w:trHeight w:val="116" w:hRule="atLeast"/>
        </w:trPr>
        <w:tc>
          <w:tcPr>
            <w:tcW w:w="5614" w:type="dxa"/>
            <w:tcBorders/>
            <w:shd w:color="auto" w:fill="auto" w:val="clear"/>
          </w:tcPr>
          <w:p>
            <w:pPr>
              <w:pStyle w:val="Style22"/>
              <w:shd w:val="clear" w:fill="FFFFFF"/>
              <w:spacing w:before="0" w:after="0"/>
              <w:rPr/>
            </w:pPr>
            <w:r>
              <w:rPr>
                <w:rFonts w:ascii="Times New Roman" w:hAnsi="Times New Roman"/>
                <w:sz w:val="20"/>
                <w:szCs w:val="20"/>
              </w:rPr>
              <w:t>Усього активів</w:t>
            </w:r>
          </w:p>
        </w:tc>
        <w:tc>
          <w:tcPr>
            <w:tcW w:w="2022" w:type="dxa"/>
            <w:tcBorders/>
            <w:shd w:color="auto" w:fill="auto" w:val="clear"/>
          </w:tcPr>
          <w:p>
            <w:pPr>
              <w:pStyle w:val="Style22"/>
              <w:shd w:val="clear" w:fill="FFFFFF"/>
              <w:spacing w:before="0" w:after="0"/>
              <w:rPr/>
            </w:pPr>
            <w:r>
              <w:rPr>
                <w:rFonts w:ascii="Times New Roman" w:hAnsi="Times New Roman"/>
                <w:sz w:val="20"/>
                <w:szCs w:val="20"/>
              </w:rPr>
              <w:t xml:space="preserve">54112,6                                 </w:t>
            </w:r>
          </w:p>
        </w:tc>
        <w:tc>
          <w:tcPr>
            <w:tcW w:w="2002" w:type="dxa"/>
            <w:tcBorders/>
            <w:shd w:color="auto" w:fill="auto" w:val="clear"/>
          </w:tcPr>
          <w:p>
            <w:pPr>
              <w:pStyle w:val="Style22"/>
              <w:shd w:val="clear" w:fill="FFFFFF"/>
              <w:spacing w:before="0" w:after="0"/>
              <w:rPr/>
            </w:pPr>
            <w:r>
              <w:rPr>
                <w:rFonts w:ascii="Times New Roman" w:hAnsi="Times New Roman"/>
                <w:sz w:val="20"/>
                <w:szCs w:val="20"/>
              </w:rPr>
              <w:t>59514,6</w:t>
            </w:r>
          </w:p>
        </w:tc>
      </w:tr>
      <w:tr>
        <w:trPr>
          <w:trHeight w:val="116" w:hRule="atLeast"/>
        </w:trPr>
        <w:tc>
          <w:tcPr>
            <w:tcW w:w="5614" w:type="dxa"/>
            <w:tcBorders/>
            <w:shd w:color="auto" w:fill="auto" w:val="clear"/>
          </w:tcPr>
          <w:p>
            <w:pPr>
              <w:pStyle w:val="Style22"/>
              <w:shd w:val="clear" w:fill="FFFFFF"/>
              <w:spacing w:before="0" w:after="0"/>
              <w:rPr/>
            </w:pPr>
            <w:r>
              <w:rPr>
                <w:rFonts w:ascii="Times New Roman" w:hAnsi="Times New Roman"/>
                <w:sz w:val="20"/>
                <w:szCs w:val="20"/>
              </w:rPr>
              <w:t xml:space="preserve">Основні засоби (за залишковою вартістю)                                 </w:t>
            </w:r>
          </w:p>
        </w:tc>
        <w:tc>
          <w:tcPr>
            <w:tcW w:w="2022" w:type="dxa"/>
            <w:tcBorders/>
            <w:shd w:color="auto" w:fill="auto" w:val="clear"/>
          </w:tcPr>
          <w:p>
            <w:pPr>
              <w:pStyle w:val="Style22"/>
              <w:shd w:val="clear" w:fill="FFFFFF"/>
              <w:spacing w:before="0" w:after="0"/>
              <w:rPr/>
            </w:pPr>
            <w:r>
              <w:rPr>
                <w:rFonts w:ascii="Times New Roman" w:hAnsi="Times New Roman"/>
                <w:sz w:val="20"/>
                <w:szCs w:val="20"/>
              </w:rPr>
              <w:t xml:space="preserve">29794,0                    </w:t>
            </w:r>
          </w:p>
        </w:tc>
        <w:tc>
          <w:tcPr>
            <w:tcW w:w="2002" w:type="dxa"/>
            <w:tcBorders/>
            <w:shd w:color="auto" w:fill="auto" w:val="clear"/>
          </w:tcPr>
          <w:p>
            <w:pPr>
              <w:pStyle w:val="Style22"/>
              <w:shd w:val="clear" w:fill="FFFFFF"/>
              <w:spacing w:before="0" w:after="0"/>
              <w:rPr/>
            </w:pPr>
            <w:r>
              <w:rPr>
                <w:rFonts w:ascii="Times New Roman" w:hAnsi="Times New Roman"/>
                <w:sz w:val="20"/>
                <w:szCs w:val="20"/>
              </w:rPr>
              <w:t>35499,5</w:t>
            </w:r>
          </w:p>
        </w:tc>
      </w:tr>
      <w:tr>
        <w:trPr>
          <w:trHeight w:val="116" w:hRule="atLeast"/>
        </w:trPr>
        <w:tc>
          <w:tcPr>
            <w:tcW w:w="5614" w:type="dxa"/>
            <w:tcBorders/>
            <w:shd w:color="auto" w:fill="auto" w:val="clear"/>
          </w:tcPr>
          <w:p>
            <w:pPr>
              <w:pStyle w:val="Style22"/>
              <w:shd w:val="clear" w:fill="FFFFFF"/>
              <w:spacing w:before="0" w:after="0"/>
              <w:rPr/>
            </w:pPr>
            <w:r>
              <w:rPr>
                <w:rFonts w:ascii="Times New Roman" w:hAnsi="Times New Roman"/>
                <w:sz w:val="20"/>
                <w:szCs w:val="20"/>
              </w:rPr>
              <w:t>Запаси</w:t>
            </w:r>
          </w:p>
        </w:tc>
        <w:tc>
          <w:tcPr>
            <w:tcW w:w="2022" w:type="dxa"/>
            <w:tcBorders/>
            <w:shd w:color="auto" w:fill="auto" w:val="clear"/>
          </w:tcPr>
          <w:p>
            <w:pPr>
              <w:pStyle w:val="Style22"/>
              <w:shd w:val="clear" w:fill="FFFFFF"/>
              <w:spacing w:before="0" w:after="0"/>
              <w:rPr>
                <w:rFonts w:ascii="Times New Roman" w:hAnsi="Times New Roman"/>
                <w:sz w:val="20"/>
                <w:szCs w:val="20"/>
              </w:rPr>
            </w:pPr>
            <w:r>
              <w:rPr>
                <w:rFonts w:ascii="Times New Roman" w:hAnsi="Times New Roman"/>
                <w:sz w:val="20"/>
                <w:szCs w:val="20"/>
              </w:rPr>
            </w:r>
          </w:p>
        </w:tc>
        <w:tc>
          <w:tcPr>
            <w:tcW w:w="2002" w:type="dxa"/>
            <w:tcBorders/>
            <w:shd w:color="auto" w:fill="auto" w:val="clear"/>
          </w:tcPr>
          <w:p>
            <w:pPr>
              <w:pStyle w:val="Style22"/>
              <w:shd w:val="clear" w:fill="FFFFFF"/>
              <w:spacing w:before="0" w:after="0"/>
              <w:rPr>
                <w:rFonts w:ascii="Times New Roman" w:hAnsi="Times New Roman"/>
                <w:sz w:val="20"/>
                <w:szCs w:val="20"/>
              </w:rPr>
            </w:pPr>
            <w:r>
              <w:rPr>
                <w:rFonts w:ascii="Times New Roman" w:hAnsi="Times New Roman"/>
                <w:sz w:val="20"/>
                <w:szCs w:val="20"/>
              </w:rPr>
            </w:r>
          </w:p>
        </w:tc>
      </w:tr>
      <w:tr>
        <w:trPr>
          <w:trHeight w:val="116" w:hRule="atLeast"/>
        </w:trPr>
        <w:tc>
          <w:tcPr>
            <w:tcW w:w="5614" w:type="dxa"/>
            <w:tcBorders/>
            <w:shd w:color="auto" w:fill="auto" w:val="clear"/>
          </w:tcPr>
          <w:p>
            <w:pPr>
              <w:pStyle w:val="Style22"/>
              <w:shd w:val="clear" w:fill="FFFFFF"/>
              <w:spacing w:before="0" w:after="0"/>
              <w:rPr/>
            </w:pPr>
            <w:r>
              <w:rPr>
                <w:rFonts w:ascii="Times New Roman" w:hAnsi="Times New Roman"/>
                <w:sz w:val="20"/>
                <w:szCs w:val="20"/>
              </w:rPr>
              <w:t>Сумарна дебіторська заборгованість</w:t>
            </w:r>
          </w:p>
        </w:tc>
        <w:tc>
          <w:tcPr>
            <w:tcW w:w="2022" w:type="dxa"/>
            <w:tcBorders/>
            <w:shd w:color="auto" w:fill="auto" w:val="clear"/>
          </w:tcPr>
          <w:p>
            <w:pPr>
              <w:pStyle w:val="Style22"/>
              <w:shd w:val="clear" w:fill="FFFFFF"/>
              <w:spacing w:before="0" w:after="0"/>
              <w:rPr/>
            </w:pPr>
            <w:r>
              <w:rPr>
                <w:rFonts w:ascii="Times New Roman" w:hAnsi="Times New Roman"/>
                <w:sz w:val="20"/>
                <w:szCs w:val="20"/>
              </w:rPr>
              <w:t xml:space="preserve">25,2  </w:t>
            </w:r>
          </w:p>
        </w:tc>
        <w:tc>
          <w:tcPr>
            <w:tcW w:w="2002" w:type="dxa"/>
            <w:tcBorders/>
            <w:shd w:color="auto" w:fill="auto" w:val="clear"/>
          </w:tcPr>
          <w:p>
            <w:pPr>
              <w:pStyle w:val="Style22"/>
              <w:shd w:val="clear" w:fill="FFFFFF"/>
              <w:spacing w:before="0" w:after="0"/>
              <w:rPr/>
            </w:pPr>
            <w:r>
              <w:rPr>
                <w:rFonts w:ascii="Times New Roman" w:hAnsi="Times New Roman"/>
                <w:sz w:val="20"/>
                <w:szCs w:val="20"/>
              </w:rPr>
              <w:t>0,8</w:t>
            </w:r>
          </w:p>
        </w:tc>
      </w:tr>
      <w:tr>
        <w:trPr>
          <w:trHeight w:val="116" w:hRule="atLeast"/>
        </w:trPr>
        <w:tc>
          <w:tcPr>
            <w:tcW w:w="5614" w:type="dxa"/>
            <w:tcBorders/>
            <w:shd w:color="auto" w:fill="auto" w:val="clear"/>
          </w:tcPr>
          <w:p>
            <w:pPr>
              <w:pStyle w:val="Style22"/>
              <w:shd w:val="clear" w:fill="FFFFFF"/>
              <w:spacing w:before="0" w:after="0"/>
              <w:rPr/>
            </w:pPr>
            <w:r>
              <w:rPr>
                <w:rFonts w:ascii="Times New Roman" w:hAnsi="Times New Roman"/>
                <w:sz w:val="20"/>
                <w:szCs w:val="20"/>
              </w:rPr>
              <w:t>Гроші та їх еквіваленти</w:t>
            </w:r>
          </w:p>
        </w:tc>
        <w:tc>
          <w:tcPr>
            <w:tcW w:w="2022" w:type="dxa"/>
            <w:tcBorders/>
            <w:shd w:color="auto" w:fill="auto" w:val="clear"/>
          </w:tcPr>
          <w:p>
            <w:pPr>
              <w:pStyle w:val="Style22"/>
              <w:shd w:val="clear" w:fill="FFFFFF"/>
              <w:spacing w:before="0" w:after="0"/>
              <w:rPr/>
            </w:pPr>
            <w:r>
              <w:rPr>
                <w:rFonts w:ascii="Times New Roman" w:hAnsi="Times New Roman"/>
                <w:sz w:val="20"/>
                <w:szCs w:val="20"/>
              </w:rPr>
              <w:t>282,4</w:t>
            </w:r>
          </w:p>
        </w:tc>
        <w:tc>
          <w:tcPr>
            <w:tcW w:w="2002" w:type="dxa"/>
            <w:tcBorders/>
            <w:shd w:color="auto" w:fill="auto" w:val="clear"/>
          </w:tcPr>
          <w:p>
            <w:pPr>
              <w:pStyle w:val="Style22"/>
              <w:shd w:val="clear" w:fill="FFFFFF"/>
              <w:spacing w:before="0" w:after="0"/>
              <w:rPr/>
            </w:pPr>
            <w:r>
              <w:rPr>
                <w:rFonts w:ascii="Times New Roman" w:hAnsi="Times New Roman"/>
                <w:sz w:val="20"/>
                <w:szCs w:val="20"/>
              </w:rPr>
              <w:t>3,3</w:t>
            </w:r>
          </w:p>
        </w:tc>
      </w:tr>
      <w:tr>
        <w:trPr>
          <w:trHeight w:val="116" w:hRule="atLeast"/>
        </w:trPr>
        <w:tc>
          <w:tcPr>
            <w:tcW w:w="5614" w:type="dxa"/>
            <w:tcBorders/>
            <w:shd w:color="auto" w:fill="auto" w:val="clear"/>
          </w:tcPr>
          <w:p>
            <w:pPr>
              <w:pStyle w:val="Style22"/>
              <w:shd w:val="clear" w:fill="FFFFFF"/>
              <w:spacing w:before="0" w:after="0"/>
              <w:rPr/>
            </w:pPr>
            <w:r>
              <w:rPr>
                <w:rFonts w:ascii="Times New Roman" w:hAnsi="Times New Roman"/>
                <w:sz w:val="20"/>
                <w:szCs w:val="20"/>
              </w:rPr>
              <w:t>Нерозподілений прибуток (непокритий збиток)</w:t>
            </w:r>
          </w:p>
        </w:tc>
        <w:tc>
          <w:tcPr>
            <w:tcW w:w="2022" w:type="dxa"/>
            <w:tcBorders/>
            <w:shd w:color="auto" w:fill="auto" w:val="clear"/>
          </w:tcPr>
          <w:p>
            <w:pPr>
              <w:pStyle w:val="Style22"/>
              <w:shd w:val="clear" w:fill="FFFFFF"/>
              <w:spacing w:before="0" w:after="0"/>
              <w:rPr/>
            </w:pPr>
            <w:r>
              <w:rPr>
                <w:rFonts w:ascii="Times New Roman" w:hAnsi="Times New Roman"/>
                <w:sz w:val="20"/>
                <w:szCs w:val="20"/>
              </w:rPr>
              <w:t>-84033,5</w:t>
            </w:r>
          </w:p>
        </w:tc>
        <w:tc>
          <w:tcPr>
            <w:tcW w:w="2002" w:type="dxa"/>
            <w:tcBorders/>
            <w:shd w:color="auto" w:fill="auto" w:val="clear"/>
          </w:tcPr>
          <w:p>
            <w:pPr>
              <w:pStyle w:val="Style22"/>
              <w:shd w:val="clear" w:fill="FFFFFF"/>
              <w:spacing w:before="0" w:after="0"/>
              <w:rPr/>
            </w:pPr>
            <w:r>
              <w:rPr>
                <w:rFonts w:ascii="Times New Roman" w:hAnsi="Times New Roman"/>
                <w:sz w:val="20"/>
                <w:szCs w:val="20"/>
              </w:rPr>
              <w:t>-78699,4</w:t>
            </w:r>
          </w:p>
        </w:tc>
      </w:tr>
      <w:tr>
        <w:trPr>
          <w:trHeight w:val="116" w:hRule="atLeast"/>
        </w:trPr>
        <w:tc>
          <w:tcPr>
            <w:tcW w:w="5614" w:type="dxa"/>
            <w:tcBorders/>
            <w:shd w:color="auto" w:fill="auto" w:val="clear"/>
          </w:tcPr>
          <w:p>
            <w:pPr>
              <w:pStyle w:val="Style22"/>
              <w:shd w:val="clear" w:fill="FFFFFF"/>
              <w:spacing w:before="0" w:after="0"/>
              <w:rPr/>
            </w:pPr>
            <w:r>
              <w:rPr>
                <w:rFonts w:ascii="Times New Roman" w:hAnsi="Times New Roman"/>
                <w:sz w:val="20"/>
                <w:szCs w:val="20"/>
              </w:rPr>
              <w:t>Власний капітал</w:t>
            </w:r>
          </w:p>
        </w:tc>
        <w:tc>
          <w:tcPr>
            <w:tcW w:w="2022" w:type="dxa"/>
            <w:tcBorders/>
            <w:shd w:color="auto" w:fill="auto" w:val="clear"/>
          </w:tcPr>
          <w:p>
            <w:pPr>
              <w:pStyle w:val="Style22"/>
              <w:shd w:val="clear" w:fill="FFFFFF"/>
              <w:spacing w:before="0" w:after="0"/>
              <w:rPr/>
            </w:pPr>
            <w:r>
              <w:rPr>
                <w:rFonts w:ascii="Times New Roman" w:hAnsi="Times New Roman"/>
                <w:sz w:val="20"/>
                <w:szCs w:val="20"/>
              </w:rPr>
              <w:t>53436,5</w:t>
            </w:r>
          </w:p>
        </w:tc>
        <w:tc>
          <w:tcPr>
            <w:tcW w:w="2002" w:type="dxa"/>
            <w:tcBorders/>
            <w:shd w:color="auto" w:fill="auto" w:val="clear"/>
          </w:tcPr>
          <w:p>
            <w:pPr>
              <w:pStyle w:val="Style22"/>
              <w:shd w:val="clear" w:fill="FFFFFF"/>
              <w:spacing w:before="0" w:after="0"/>
              <w:rPr/>
            </w:pPr>
            <w:r>
              <w:rPr>
                <w:rFonts w:ascii="Times New Roman" w:hAnsi="Times New Roman"/>
                <w:sz w:val="20"/>
                <w:szCs w:val="20"/>
              </w:rPr>
              <w:t>58770,6</w:t>
            </w:r>
          </w:p>
        </w:tc>
      </w:tr>
      <w:tr>
        <w:trPr>
          <w:trHeight w:val="116" w:hRule="atLeast"/>
        </w:trPr>
        <w:tc>
          <w:tcPr>
            <w:tcW w:w="5614" w:type="dxa"/>
            <w:tcBorders/>
            <w:shd w:color="auto" w:fill="auto" w:val="clear"/>
          </w:tcPr>
          <w:p>
            <w:pPr>
              <w:pStyle w:val="Style22"/>
              <w:shd w:val="clear" w:fill="FFFFFF"/>
              <w:spacing w:before="0" w:after="0"/>
              <w:rPr/>
            </w:pPr>
            <w:r>
              <w:rPr>
                <w:rFonts w:ascii="Times New Roman" w:hAnsi="Times New Roman"/>
                <w:sz w:val="20"/>
                <w:szCs w:val="20"/>
              </w:rPr>
              <w:t>Зареєстрований (пайовий/статутний) капітал</w:t>
            </w:r>
          </w:p>
        </w:tc>
        <w:tc>
          <w:tcPr>
            <w:tcW w:w="2022" w:type="dxa"/>
            <w:tcBorders/>
            <w:shd w:color="auto" w:fill="auto" w:val="clear"/>
          </w:tcPr>
          <w:p>
            <w:pPr>
              <w:pStyle w:val="Style22"/>
              <w:shd w:val="clear" w:fill="FFFFFF"/>
              <w:spacing w:before="0" w:after="0"/>
              <w:rPr/>
            </w:pPr>
            <w:r>
              <w:rPr>
                <w:rFonts w:ascii="Times New Roman" w:hAnsi="Times New Roman"/>
                <w:sz w:val="20"/>
                <w:szCs w:val="20"/>
              </w:rPr>
              <w:t>26578,2</w:t>
            </w:r>
          </w:p>
        </w:tc>
        <w:tc>
          <w:tcPr>
            <w:tcW w:w="2002" w:type="dxa"/>
            <w:tcBorders/>
            <w:shd w:color="auto" w:fill="auto" w:val="clear"/>
          </w:tcPr>
          <w:p>
            <w:pPr>
              <w:pStyle w:val="Style22"/>
              <w:shd w:val="clear" w:fill="FFFFFF"/>
              <w:spacing w:before="0" w:after="0"/>
              <w:rPr/>
            </w:pPr>
            <w:r>
              <w:rPr>
                <w:rFonts w:ascii="Times New Roman" w:hAnsi="Times New Roman"/>
                <w:sz w:val="20"/>
                <w:szCs w:val="20"/>
              </w:rPr>
              <w:t>26578,2</w:t>
            </w:r>
          </w:p>
        </w:tc>
      </w:tr>
      <w:tr>
        <w:trPr>
          <w:trHeight w:val="116" w:hRule="atLeast"/>
        </w:trPr>
        <w:tc>
          <w:tcPr>
            <w:tcW w:w="5614" w:type="dxa"/>
            <w:tcBorders/>
            <w:shd w:color="auto" w:fill="auto" w:val="clear"/>
          </w:tcPr>
          <w:p>
            <w:pPr>
              <w:pStyle w:val="Style22"/>
              <w:shd w:val="clear" w:fill="FFFFFF"/>
              <w:spacing w:before="0" w:after="0"/>
              <w:rPr/>
            </w:pPr>
            <w:r>
              <w:rPr>
                <w:rFonts w:ascii="Times New Roman" w:hAnsi="Times New Roman"/>
                <w:sz w:val="20"/>
                <w:szCs w:val="20"/>
              </w:rPr>
              <w:t>Довгострокові зобов’язання і забезпечення</w:t>
            </w:r>
          </w:p>
        </w:tc>
        <w:tc>
          <w:tcPr>
            <w:tcW w:w="2022" w:type="dxa"/>
            <w:tcBorders/>
            <w:shd w:color="auto" w:fill="auto" w:val="clear"/>
          </w:tcPr>
          <w:p>
            <w:pPr>
              <w:pStyle w:val="Style22"/>
              <w:shd w:val="clear" w:fill="FFFFFF"/>
              <w:spacing w:before="0" w:after="0"/>
              <w:rPr/>
            </w:pPr>
            <w:r>
              <w:rPr>
                <w:rFonts w:ascii="Times New Roman" w:hAnsi="Times New Roman"/>
                <w:sz w:val="20"/>
                <w:szCs w:val="20"/>
              </w:rPr>
              <w:t>549,4</w:t>
            </w:r>
          </w:p>
        </w:tc>
        <w:tc>
          <w:tcPr>
            <w:tcW w:w="2002" w:type="dxa"/>
            <w:tcBorders/>
            <w:shd w:color="auto" w:fill="auto" w:val="clear"/>
          </w:tcPr>
          <w:p>
            <w:pPr>
              <w:pStyle w:val="Style22"/>
              <w:shd w:val="clear" w:fill="FFFFFF"/>
              <w:spacing w:before="0" w:after="0"/>
              <w:rPr/>
            </w:pPr>
            <w:r>
              <w:rPr>
                <w:rFonts w:ascii="Times New Roman" w:hAnsi="Times New Roman"/>
                <w:sz w:val="20"/>
                <w:szCs w:val="20"/>
              </w:rPr>
              <w:t>561,3</w:t>
            </w:r>
          </w:p>
        </w:tc>
      </w:tr>
      <w:tr>
        <w:trPr>
          <w:trHeight w:val="116" w:hRule="atLeast"/>
        </w:trPr>
        <w:tc>
          <w:tcPr>
            <w:tcW w:w="5614" w:type="dxa"/>
            <w:tcBorders/>
            <w:shd w:color="auto" w:fill="auto" w:val="clear"/>
          </w:tcPr>
          <w:p>
            <w:pPr>
              <w:pStyle w:val="Style22"/>
              <w:shd w:val="clear" w:fill="FFFFFF"/>
              <w:spacing w:before="0" w:after="0"/>
              <w:rPr/>
            </w:pPr>
            <w:r>
              <w:rPr>
                <w:rFonts w:ascii="Times New Roman" w:hAnsi="Times New Roman"/>
                <w:sz w:val="20"/>
                <w:szCs w:val="20"/>
              </w:rPr>
              <w:t>Поточні зобов’язання і забезпечення</w:t>
            </w:r>
          </w:p>
        </w:tc>
        <w:tc>
          <w:tcPr>
            <w:tcW w:w="2022" w:type="dxa"/>
            <w:tcBorders/>
            <w:shd w:color="auto" w:fill="auto" w:val="clear"/>
          </w:tcPr>
          <w:p>
            <w:pPr>
              <w:pStyle w:val="Style22"/>
              <w:shd w:val="clear" w:fill="FFFFFF"/>
              <w:spacing w:before="0" w:after="0"/>
              <w:rPr/>
            </w:pPr>
            <w:r>
              <w:rPr>
                <w:rFonts w:ascii="Times New Roman" w:hAnsi="Times New Roman"/>
                <w:sz w:val="20"/>
                <w:szCs w:val="20"/>
              </w:rPr>
              <w:t>126,7</w:t>
            </w:r>
          </w:p>
        </w:tc>
        <w:tc>
          <w:tcPr>
            <w:tcW w:w="2002" w:type="dxa"/>
            <w:tcBorders/>
            <w:shd w:color="auto" w:fill="auto" w:val="clear"/>
          </w:tcPr>
          <w:p>
            <w:pPr>
              <w:pStyle w:val="Style22"/>
              <w:shd w:val="clear" w:fill="FFFFFF"/>
              <w:spacing w:before="0" w:after="0"/>
              <w:rPr/>
            </w:pPr>
            <w:r>
              <w:rPr>
                <w:rFonts w:ascii="Times New Roman" w:hAnsi="Times New Roman"/>
                <w:sz w:val="20"/>
                <w:szCs w:val="20"/>
              </w:rPr>
              <w:t>182,7</w:t>
            </w:r>
          </w:p>
        </w:tc>
      </w:tr>
      <w:tr>
        <w:trPr>
          <w:trHeight w:val="116" w:hRule="atLeast"/>
        </w:trPr>
        <w:tc>
          <w:tcPr>
            <w:tcW w:w="5614" w:type="dxa"/>
            <w:tcBorders/>
            <w:shd w:color="auto" w:fill="auto" w:val="clear"/>
          </w:tcPr>
          <w:p>
            <w:pPr>
              <w:pStyle w:val="Style22"/>
              <w:shd w:val="clear" w:fill="FFFFFF"/>
              <w:spacing w:before="0" w:after="0"/>
              <w:rPr/>
            </w:pPr>
            <w:r>
              <w:rPr>
                <w:rFonts w:ascii="Times New Roman" w:hAnsi="Times New Roman"/>
                <w:sz w:val="20"/>
                <w:szCs w:val="20"/>
              </w:rPr>
              <w:t>Чистий фінансовий результат: прибуток (збиток)</w:t>
            </w:r>
          </w:p>
        </w:tc>
        <w:tc>
          <w:tcPr>
            <w:tcW w:w="2022" w:type="dxa"/>
            <w:tcBorders/>
            <w:shd w:color="auto" w:fill="auto" w:val="clear"/>
          </w:tcPr>
          <w:p>
            <w:pPr>
              <w:pStyle w:val="Style22"/>
              <w:shd w:val="clear" w:fill="FFFFFF"/>
              <w:spacing w:before="0" w:after="0"/>
              <w:rPr/>
            </w:pPr>
            <w:r>
              <w:rPr>
                <w:rFonts w:ascii="Times New Roman" w:hAnsi="Times New Roman"/>
                <w:sz w:val="20"/>
                <w:szCs w:val="20"/>
              </w:rPr>
              <w:t>-5334,1</w:t>
            </w:r>
          </w:p>
        </w:tc>
        <w:tc>
          <w:tcPr>
            <w:tcW w:w="2002" w:type="dxa"/>
            <w:tcBorders/>
            <w:shd w:color="auto" w:fill="auto" w:val="clear"/>
          </w:tcPr>
          <w:p>
            <w:pPr>
              <w:pStyle w:val="Style22"/>
              <w:shd w:val="clear" w:fill="FFFFFF"/>
              <w:spacing w:before="0" w:after="0"/>
              <w:rPr/>
            </w:pPr>
            <w:r>
              <w:rPr>
                <w:rFonts w:ascii="Times New Roman" w:hAnsi="Times New Roman"/>
                <w:sz w:val="20"/>
                <w:szCs w:val="20"/>
              </w:rPr>
              <w:t>-9179,10</w:t>
            </w:r>
          </w:p>
        </w:tc>
      </w:tr>
      <w:tr>
        <w:trPr>
          <w:trHeight w:val="116" w:hRule="atLeast"/>
        </w:trPr>
        <w:tc>
          <w:tcPr>
            <w:tcW w:w="5614" w:type="dxa"/>
            <w:tcBorders/>
            <w:shd w:color="auto" w:fill="auto" w:val="clear"/>
          </w:tcPr>
          <w:p>
            <w:pPr>
              <w:pStyle w:val="Style22"/>
              <w:shd w:val="clear" w:fill="FFFFFF"/>
              <w:spacing w:before="0" w:after="0"/>
              <w:rPr/>
            </w:pPr>
            <w:r>
              <w:rPr>
                <w:rFonts w:ascii="Times New Roman" w:hAnsi="Times New Roman"/>
                <w:sz w:val="20"/>
                <w:szCs w:val="20"/>
              </w:rPr>
              <w:t>Середньорічна кількість акцій (шт.)</w:t>
            </w:r>
          </w:p>
        </w:tc>
        <w:tc>
          <w:tcPr>
            <w:tcW w:w="2022" w:type="dxa"/>
            <w:tcBorders/>
            <w:shd w:color="auto" w:fill="auto" w:val="clear"/>
          </w:tcPr>
          <w:p>
            <w:pPr>
              <w:pStyle w:val="Style22"/>
              <w:shd w:val="clear" w:fill="FFFFFF"/>
              <w:spacing w:before="0" w:after="0"/>
              <w:rPr/>
            </w:pPr>
            <w:bookmarkStart w:id="4" w:name="_GoBack"/>
            <w:bookmarkEnd w:id="4"/>
            <w:r>
              <w:rPr>
                <w:rFonts w:ascii="Times New Roman" w:hAnsi="Times New Roman"/>
                <w:sz w:val="20"/>
                <w:szCs w:val="20"/>
              </w:rPr>
              <w:t>26578185</w:t>
            </w:r>
          </w:p>
        </w:tc>
        <w:tc>
          <w:tcPr>
            <w:tcW w:w="2002" w:type="dxa"/>
            <w:tcBorders/>
            <w:shd w:color="auto" w:fill="auto" w:val="clear"/>
          </w:tcPr>
          <w:p>
            <w:pPr>
              <w:pStyle w:val="Style22"/>
              <w:shd w:val="clear" w:fill="FFFFFF"/>
              <w:spacing w:before="0" w:after="0"/>
              <w:rPr/>
            </w:pPr>
            <w:r>
              <w:rPr>
                <w:rFonts w:ascii="Times New Roman" w:hAnsi="Times New Roman"/>
                <w:sz w:val="20"/>
                <w:szCs w:val="20"/>
              </w:rPr>
              <w:t>26578185</w:t>
            </w:r>
          </w:p>
        </w:tc>
      </w:tr>
      <w:tr>
        <w:trPr>
          <w:trHeight w:val="131" w:hRule="atLeast"/>
        </w:trPr>
        <w:tc>
          <w:tcPr>
            <w:tcW w:w="5614" w:type="dxa"/>
            <w:tcBorders/>
            <w:shd w:color="auto" w:fill="auto" w:val="clear"/>
          </w:tcPr>
          <w:p>
            <w:pPr>
              <w:pStyle w:val="Style22"/>
              <w:shd w:val="clear" w:fill="FFFFFF"/>
              <w:spacing w:before="0" w:after="0"/>
              <w:rPr/>
            </w:pPr>
            <w:r>
              <w:rPr>
                <w:rFonts w:ascii="Times New Roman" w:hAnsi="Times New Roman"/>
                <w:sz w:val="20"/>
                <w:szCs w:val="20"/>
              </w:rPr>
              <w:t>Чистий прибуток (збиток) на одну просту акцію (грн)</w:t>
            </w:r>
          </w:p>
        </w:tc>
        <w:tc>
          <w:tcPr>
            <w:tcW w:w="2022" w:type="dxa"/>
            <w:tcBorders/>
            <w:shd w:color="auto" w:fill="auto" w:val="clear"/>
          </w:tcPr>
          <w:p>
            <w:pPr>
              <w:pStyle w:val="Style22"/>
              <w:shd w:val="clear" w:fill="FFFFFF"/>
              <w:spacing w:before="0" w:after="0"/>
              <w:rPr/>
            </w:pPr>
            <w:r>
              <w:rPr>
                <w:rFonts w:ascii="Times New Roman" w:hAnsi="Times New Roman"/>
                <w:sz w:val="20"/>
                <w:szCs w:val="20"/>
              </w:rPr>
              <w:t>-0,2</w:t>
            </w:r>
          </w:p>
        </w:tc>
        <w:tc>
          <w:tcPr>
            <w:tcW w:w="2002" w:type="dxa"/>
            <w:tcBorders/>
            <w:shd w:color="auto" w:fill="auto" w:val="clear"/>
          </w:tcPr>
          <w:p>
            <w:pPr>
              <w:pStyle w:val="Style22"/>
              <w:shd w:val="clear" w:fill="FFFFFF"/>
              <w:spacing w:before="0" w:after="0"/>
              <w:rPr/>
            </w:pPr>
            <w:r>
              <w:rPr>
                <w:rFonts w:ascii="Times New Roman" w:hAnsi="Times New Roman"/>
                <w:sz w:val="20"/>
                <w:szCs w:val="20"/>
              </w:rPr>
              <w:t>-0,35</w:t>
            </w:r>
          </w:p>
        </w:tc>
      </w:tr>
    </w:tbl>
    <w:p>
      <w:pPr>
        <w:pStyle w:val="Style18"/>
        <w:shd w:val="clear" w:fill="FFFFFF"/>
        <w:spacing w:lineRule="atLeast" w:line="240" w:before="0" w:after="120"/>
        <w:ind w:left="0" w:right="0" w:firstLine="539"/>
        <w:jc w:val="both"/>
        <w:rPr>
          <w:rStyle w:val="Style13"/>
          <w:rFonts w:ascii="Times New Roman" w:hAnsi="Times New Roman" w:cs="Times New Roman"/>
          <w:sz w:val="20"/>
          <w:szCs w:val="20"/>
          <w:lang w:val="uk-UA"/>
        </w:rPr>
      </w:pPr>
      <w:r>
        <w:rPr>
          <w:rFonts w:cs="Times New Roman" w:ascii="Times New Roman" w:hAnsi="Times New Roman"/>
          <w:sz w:val="20"/>
          <w:szCs w:val="20"/>
          <w:lang w:val="uk-UA"/>
        </w:rPr>
      </w:r>
    </w:p>
    <w:p>
      <w:pPr>
        <w:pStyle w:val="Normal"/>
        <w:shd w:val="clear" w:fill="FFFFFF"/>
        <w:spacing w:lineRule="atLeast" w:line="240" w:before="0" w:after="120"/>
        <w:ind w:left="0" w:right="0" w:firstLine="539"/>
        <w:jc w:val="both"/>
        <w:rPr>
          <w:rStyle w:val="Style13"/>
          <w:rFonts w:ascii="Times New Roman" w:hAnsi="Times New Roman" w:cs="Times New Roman"/>
          <w:sz w:val="20"/>
          <w:szCs w:val="20"/>
          <w:lang w:val="uk-UA"/>
        </w:rPr>
      </w:pPr>
      <w:r>
        <w:rPr>
          <w:rFonts w:cs="Times New Roman" w:ascii="Times New Roman" w:hAnsi="Times New Roman"/>
          <w:sz w:val="20"/>
          <w:szCs w:val="20"/>
          <w:lang w:val="uk-UA"/>
        </w:rPr>
      </w:r>
    </w:p>
    <w:p>
      <w:pPr>
        <w:pStyle w:val="Normal"/>
        <w:shd w:val="clear" w:fill="FFFFFF"/>
        <w:spacing w:before="0" w:after="0"/>
        <w:jc w:val="both"/>
        <w:rPr>
          <w:rFonts w:ascii="Times New Roman" w:hAnsi="Times New Roman" w:cs="Times New Roman"/>
          <w:b/>
          <w:b/>
          <w:color w:val="000000"/>
          <w:spacing w:val="-6"/>
          <w:sz w:val="20"/>
          <w:szCs w:val="20"/>
          <w:lang w:val="uk-UA" w:eastAsia="ru-RU"/>
        </w:rPr>
      </w:pPr>
      <w:r>
        <w:rPr>
          <w:rFonts w:cs="Times New Roman" w:ascii="Times New Roman" w:hAnsi="Times New Roman"/>
          <w:b/>
          <w:color w:val="000000"/>
          <w:spacing w:val="-6"/>
          <w:sz w:val="20"/>
          <w:szCs w:val="20"/>
          <w:lang w:val="uk-UA" w:eastAsia="ru-RU"/>
        </w:rPr>
      </w:r>
    </w:p>
    <w:p>
      <w:pPr>
        <w:pStyle w:val="Normal"/>
        <w:numPr>
          <w:ilvl w:val="5"/>
          <w:numId w:val="2"/>
        </w:numPr>
        <w:shd w:val="clear" w:fill="FFFFFF"/>
        <w:spacing w:lineRule="atLeast" w:line="240"/>
        <w:ind w:left="-142" w:right="0" w:firstLine="708"/>
        <w:jc w:val="both"/>
        <w:outlineLvl w:val="5"/>
        <w:rPr/>
      </w:pPr>
      <w:r>
        <w:rPr>
          <w:rStyle w:val="Style13"/>
          <w:rFonts w:cs="Times New Roman" w:ascii="Times New Roman" w:hAnsi="Times New Roman"/>
          <w:b/>
          <w:color w:val="000000"/>
          <w:spacing w:val="-6"/>
          <w:sz w:val="20"/>
          <w:szCs w:val="20"/>
          <w:lang w:val="uk-UA" w:eastAsia="ru-RU"/>
        </w:rPr>
        <w:t xml:space="preserve">                       </w:t>
      </w:r>
      <w:r>
        <w:rPr>
          <w:rStyle w:val="Style13"/>
          <w:rFonts w:cs="Times New Roman" w:ascii="Times New Roman" w:hAnsi="Times New Roman"/>
          <w:b/>
          <w:color w:val="000000"/>
          <w:spacing w:val="-6"/>
          <w:sz w:val="20"/>
          <w:szCs w:val="20"/>
          <w:lang w:val="uk-UA" w:eastAsia="ru-RU"/>
        </w:rPr>
        <w:tab/>
        <w:tab/>
        <w:tab/>
        <w:tab/>
        <w:tab/>
        <w:tab/>
        <w:tab/>
        <w:t>Наглядова рада ПрАТ “КОБОС”</w:t>
      </w:r>
    </w:p>
    <w:p>
      <w:pPr>
        <w:pStyle w:val="Normal"/>
        <w:numPr>
          <w:ilvl w:val="5"/>
          <w:numId w:val="2"/>
        </w:numPr>
        <w:shd w:val="clear" w:fill="FFFFFF"/>
        <w:spacing w:lineRule="atLeast" w:line="240"/>
        <w:ind w:left="-142" w:right="0" w:firstLine="708"/>
        <w:jc w:val="both"/>
        <w:outlineLvl w:val="5"/>
        <w:rPr/>
      </w:pPr>
      <w:r>
        <w:rPr>
          <w:rStyle w:val="Style13"/>
          <w:rFonts w:cs="Times New Roman" w:ascii="Times New Roman" w:hAnsi="Times New Roman"/>
          <w:b/>
          <w:color w:val="000000"/>
          <w:spacing w:val="-6"/>
          <w:sz w:val="20"/>
          <w:szCs w:val="20"/>
          <w:lang w:val="uk-UA" w:eastAsia="ru-RU"/>
        </w:rPr>
        <w:t xml:space="preserve"> </w:t>
      </w:r>
    </w:p>
    <w:sectPr>
      <w:type w:val="nextPage"/>
      <w:pgSz w:w="11906" w:h="16838"/>
      <w:pgMar w:left="1134" w:right="1134" w:header="0" w:top="1134" w:footer="0" w:bottom="1134"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Times New Roman">
    <w:charset w:val="01"/>
    <w:family w:val="roman"/>
    <w:pitch w:val="variable"/>
  </w:font>
  <w:font w:name="Liberation Sans">
    <w:altName w:val="Arial"/>
    <w:charset w:val="01"/>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pStyle w:val="1"/>
      <w:numFmt w:val="none"/>
      <w:suff w:val="nothing"/>
      <w:lvlText w:val=""/>
      <w:lvlJc w:val="left"/>
      <w:pPr>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2">
    <w:lvl w:ilvl="0">
      <w:start w:val="1"/>
      <w:numFmt w:val="none"/>
      <w:suff w:val="nothing"/>
      <w:lvlText w:val=""/>
      <w:lvlJc w:val="left"/>
      <w:pPr>
        <w:ind w:left="432" w:hanging="432"/>
      </w:pPr>
    </w:lvl>
    <w:lvl w:ilvl="1">
      <w:start w:val="1"/>
      <w:numFmt w:val="none"/>
      <w:suff w:val="nothing"/>
      <w:lvlText w:val=""/>
      <w:lvlJc w:val="left"/>
      <w:pPr>
        <w:ind w:left="576" w:hanging="576"/>
      </w:pPr>
    </w:lvl>
    <w:lvl w:ilvl="2">
      <w:start w:val="1"/>
      <w:numFmt w:val="none"/>
      <w:suff w:val="nothing"/>
      <w:lvlText w:val=""/>
      <w:lvlJc w:val="left"/>
      <w:pPr>
        <w:ind w:left="720" w:hanging="720"/>
      </w:pPr>
    </w:lvl>
    <w:lvl w:ilvl="3">
      <w:start w:val="1"/>
      <w:numFmt w:val="none"/>
      <w:suff w:val="nothing"/>
      <w:lvlText w:val=""/>
      <w:lvlJc w:val="left"/>
      <w:pPr>
        <w:ind w:left="864" w:hanging="864"/>
      </w:pPr>
    </w:lvl>
    <w:lvl w:ilvl="4">
      <w:start w:val="1"/>
      <w:numFmt w:val="none"/>
      <w:suff w:val="nothing"/>
      <w:lvlText w:val=""/>
      <w:lvlJc w:val="left"/>
      <w:pPr>
        <w:ind w:left="1008" w:hanging="1008"/>
      </w:pPr>
    </w:lvl>
    <w:lvl w:ilvl="5">
      <w:start w:val="1"/>
      <w:numFmt w:val="none"/>
      <w:suff w:val="nothing"/>
      <w:lvlText w:val=""/>
      <w:lvlJc w:val="left"/>
      <w:pPr>
        <w:ind w:left="1152" w:hanging="1152"/>
      </w:pPr>
    </w:lvl>
    <w:lvl w:ilvl="6">
      <w:start w:val="1"/>
      <w:numFmt w:val="none"/>
      <w:suff w:val="nothing"/>
      <w:lvlText w:val=""/>
      <w:lvlJc w:val="left"/>
      <w:pPr>
        <w:ind w:left="1296" w:hanging="1296"/>
      </w:pPr>
    </w:lvl>
    <w:lvl w:ilvl="7">
      <w:start w:val="1"/>
      <w:numFmt w:val="none"/>
      <w:suff w:val="nothing"/>
      <w:lvlText w:val=""/>
      <w:lvlJc w:val="left"/>
      <w:pPr>
        <w:ind w:left="1440" w:hanging="1440"/>
      </w:pPr>
    </w:lvl>
    <w:lvl w:ilvl="8">
      <w:start w:val="1"/>
      <w:numFmt w:val="none"/>
      <w:suff w:val="nothing"/>
      <w:lvlText w:val=""/>
      <w:lvlJc w:val="left"/>
      <w:pPr>
        <w:ind w:left="1584" w:hanging="1584"/>
      </w:pPr>
    </w:lvl>
  </w:abstractNum>
  <w:num w:numId="1">
    <w:abstractNumId w:val="1"/>
  </w:num>
  <w:num w:numId="2">
    <w:abstractNumId w:val="2"/>
  </w:num>
</w:numbering>
</file>

<file path=word/settings.xml><?xml version="1.0" encoding="utf-8"?>
<w:settings xmlns:w="http://schemas.openxmlformats.org/wordprocessingml/2006/main">
  <w:zoom w:percent="140"/>
  <w:defaultTabStop w:val="709"/>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Lucida Sans Unicode" w:cs="Mangal"/>
        <w:sz w:val="20"/>
        <w:szCs w:val="24"/>
        <w:lang w:val="ru-RU" w:eastAsia="zh-CN" w:bidi="hi-IN"/>
      </w:rPr>
    </w:rPrDefault>
    <w:pPrDefault>
      <w:pPr/>
    </w:pPrDefault>
  </w:docDefaults>
  <w:style w:type="paragraph" w:styleId="Normal">
    <w:name w:val="Normal"/>
    <w:qFormat/>
    <w:pPr>
      <w:widowControl/>
      <w:bidi w:val="0"/>
      <w:jc w:val="left"/>
    </w:pPr>
    <w:rPr>
      <w:rFonts w:ascii="Liberation Serif" w:hAnsi="Liberation Serif" w:eastAsia="Lucida Sans Unicode" w:cs="Mangal"/>
      <w:color w:val="00000A"/>
      <w:sz w:val="24"/>
      <w:szCs w:val="24"/>
      <w:lang w:val="ru-RU" w:eastAsia="zh-CN" w:bidi="hi-IN"/>
    </w:rPr>
  </w:style>
  <w:style w:type="paragraph" w:styleId="1">
    <w:name w:val="Heading 1"/>
    <w:basedOn w:val="Normal"/>
    <w:qFormat/>
    <w:pPr>
      <w:numPr>
        <w:ilvl w:val="0"/>
        <w:numId w:val="1"/>
      </w:numPr>
      <w:shd w:val="clear" w:fill="FFFFFF"/>
      <w:suppressAutoHyphens w:val="true"/>
      <w:spacing w:before="50" w:after="0"/>
      <w:ind w:left="1789" w:right="1792" w:hanging="0"/>
      <w:jc w:val="center"/>
      <w:outlineLvl w:val="0"/>
      <w:outlineLvl w:val="0"/>
    </w:pPr>
    <w:rPr>
      <w:rFonts w:ascii="Times New Roman" w:hAnsi="Times New Roman" w:eastAsia="Times New Roman" w:cs="Times New Roman"/>
      <w:b/>
      <w:bCs/>
    </w:rPr>
  </w:style>
  <w:style w:type="character" w:styleId="Style13">
    <w:name w:val="Основной шрифт абзаца"/>
    <w:qFormat/>
    <w:rPr/>
  </w:style>
  <w:style w:type="character" w:styleId="Style14">
    <w:name w:val="Выделение жирным"/>
    <w:qFormat/>
    <w:rPr>
      <w:b/>
      <w:bCs/>
    </w:rPr>
  </w:style>
  <w:style w:type="character" w:styleId="Style15">
    <w:name w:val="Интернет-ссылка"/>
    <w:rPr>
      <w:color w:val="000080"/>
      <w:u w:val="single"/>
      <w:lang w:val="zxx" w:eastAsia="zxx" w:bidi="zxx"/>
    </w:rPr>
  </w:style>
  <w:style w:type="character" w:styleId="Style16">
    <w:name w:val="Посещённая гиперссылка"/>
    <w:rPr>
      <w:color w:val="800000"/>
      <w:u w:val="single"/>
    </w:rPr>
  </w:style>
  <w:style w:type="paragraph" w:styleId="Style17">
    <w:name w:val="Заголовок"/>
    <w:basedOn w:val="Normal"/>
    <w:next w:val="Style18"/>
    <w:qFormat/>
    <w:pPr>
      <w:keepNext/>
      <w:spacing w:before="240" w:after="120"/>
    </w:pPr>
    <w:rPr>
      <w:rFonts w:ascii="Liberation Sans" w:hAnsi="Liberation Sans" w:eastAsia="Lucida Sans Unicode" w:cs="Mangal"/>
      <w:sz w:val="28"/>
      <w:szCs w:val="28"/>
    </w:rPr>
  </w:style>
  <w:style w:type="paragraph" w:styleId="Style18">
    <w:name w:val="Body Text"/>
    <w:basedOn w:val="Normal"/>
    <w:pPr>
      <w:spacing w:lineRule="auto" w:line="288" w:before="0" w:after="140"/>
    </w:pPr>
    <w:rPr/>
  </w:style>
  <w:style w:type="paragraph" w:styleId="Style19">
    <w:name w:val="List"/>
    <w:basedOn w:val="Style18"/>
    <w:pPr/>
    <w:rPr>
      <w:rFonts w:cs="Mangal"/>
    </w:rPr>
  </w:style>
  <w:style w:type="paragraph" w:styleId="Style20">
    <w:name w:val="Caption"/>
    <w:basedOn w:val="Normal"/>
    <w:qFormat/>
    <w:pPr>
      <w:suppressLineNumbers/>
      <w:spacing w:before="120" w:after="120"/>
    </w:pPr>
    <w:rPr>
      <w:rFonts w:cs="Mangal"/>
      <w:i/>
      <w:iCs/>
      <w:sz w:val="24"/>
      <w:szCs w:val="24"/>
    </w:rPr>
  </w:style>
  <w:style w:type="paragraph" w:styleId="Style21">
    <w:name w:val="Указатель"/>
    <w:basedOn w:val="Normal"/>
    <w:qFormat/>
    <w:pPr>
      <w:suppressLineNumbers/>
    </w:pPr>
    <w:rPr>
      <w:rFonts w:cs="Mangal"/>
    </w:rPr>
  </w:style>
  <w:style w:type="paragraph" w:styleId="Style22">
    <w:name w:val="Содержимое таблицы"/>
    <w:basedOn w:val="Normal"/>
    <w:qFormat/>
    <w:pPr>
      <w:shd w:val="clear" w:fill="FFFFFF"/>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kobos.emitents.net.ua/" TargetMode="External"/><Relationship Id="rId3" Type="http://schemas.openxmlformats.org/officeDocument/2006/relationships/numbering" Target="numbering.xm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39</TotalTime>
  <Application>LibreOffice/5.1.6.2$Linux_X86_64 LibreOffice_project/10m0$Build-2</Application>
  <Pages>3</Pages>
  <Words>1397</Words>
  <Characters>9702</Characters>
  <CharactersWithSpaces>11149</CharactersWithSpaces>
  <Paragraphs>110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2019-03-19T10:06:30Z</dcterms:created>
  <dc:creator/>
  <dc:description/>
  <dc:language>ru-RU</dc:language>
  <cp:lastModifiedBy/>
  <dcterms:modified xsi:type="dcterms:W3CDTF">2019-03-21T11:15:11Z</dcterms:modified>
  <cp:revision>4</cp:revision>
  <dc:subject/>
  <dc:title/>
</cp:coreProperties>
</file>